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open-source frontier AI models be legally restricted or mandated to ha…</w:t>
      </w:r>
    </w:p>
    <w:p>
      <w:pPr>
        <w:pStyle w:val="Heading1"/>
      </w:pPr>
      <w:r>
        <w:rPr/>
        <w:t>Debate</w:t>
      </w:r>
    </w:p>
    <w:p>
      <w:pPr>
        <w:pStyle w:val="Heading2"/>
      </w:pPr>
      <w:r>
        <w:rPr/>
        <w:t>Question</w:t>
      </w:r>
    </w:p>
    <w:p>
      <w:pPr>
        <w:pStyle w:val="Quote"/>
      </w:pPr>
      <w:r>
        <w:rPr/>
        <w:t>Should open-source frontier AI models be legally restricted or mandated to have capability caps to prevent dual-use existential risks, even if it concentrates power among a few mega-corporations and slows open scientific innovation?</w:t>
      </w:r>
    </w:p>
    <w:p>
      <w:r>
        <w:rPr/>
      </w:r>
      <w:r>
        <w:rPr>
          <w:b/>
        </w:rPr>
        <w:t>Specialists:</w:t>
      </w:r>
      <w:r>
        <w:rPr/>
      </w:r>
    </w:p>
    <w:p>
      <w:pPr>
        <w:pStyle w:val="ListBullet"/>
      </w:pPr>
      <w:r>
        <w:rPr/>
      </w:r>
      <w:r>
        <w:rPr>
          <w:b/>
        </w:rPr>
        <w:t>AI Safety Researcher</w:t>
      </w:r>
      <w:r>
        <w:rPr/>
        <w:t xml:space="preserve"> — Existential risk and technical AI safety</w:t>
      </w:r>
    </w:p>
    <w:p>
      <w:pPr>
        <w:pStyle w:val="ListBullet"/>
      </w:pPr>
      <w:r>
        <w:rPr/>
      </w:r>
      <w:r>
        <w:rPr>
          <w:b/>
        </w:rPr>
        <w:t>Open Source Advocate</w:t>
      </w:r>
      <w:r>
        <w:rPr/>
        <w:t xml:space="preserve"> — Technology policy and innovation</w:t>
      </w:r>
    </w:p>
    <w:p>
      <w:pPr>
        <w:pStyle w:val="ListBullet"/>
      </w:pPr>
      <w:r>
        <w:rPr/>
      </w:r>
      <w:r>
        <w:rPr>
          <w:b/>
        </w:rPr>
        <w:t>National Security Strategist</w:t>
      </w:r>
      <w:r>
        <w:rPr/>
        <w:t xml:space="preserve"> — Geopolitics and defense</w:t>
      </w:r>
    </w:p>
    <w:p>
      <w:pPr>
        <w:pStyle w:val="ListBullet"/>
      </w:pPr>
      <w:r>
        <w:rPr/>
      </w:r>
      <w:r>
        <w:rPr>
          <w:b/>
        </w:rPr>
        <w:t>Civil Liberties Lawyer</w:t>
      </w:r>
      <w:r>
        <w:rPr/>
        <w:t xml:space="preserve"> — Human rights and constitutional law</w:t>
      </w:r>
    </w:p>
    <w:p>
      <w:pPr>
        <w:pStyle w:val="Heading2"/>
      </w:pPr>
      <w:r>
        <w:rPr/>
        <w:t>Opening positions</w:t>
      </w:r>
    </w:p>
    <w:p>
      <w:pPr>
        <w:pStyle w:val="Heading3"/>
      </w:pPr>
      <w:r>
        <w:rPr/>
        <w:t>AI Safety Researcher</w:t>
      </w:r>
    </w:p>
    <w:p>
      <w:r>
        <w:rPr/>
        <w:t>The question is not whether to restrict open models — it is whether to accept irreversible exposure of capabilities that cannot be recalled. My position: yes, open-source frontier releases should be legally gated behind evaluated capability thresholds, with the most dangerous dual-use capabilities either capped or released only through accountable, access-controlled channels.</w:t>
      </w:r>
    </w:p>
    <w:p>
      <w:r>
        <w:rPr/>
        <w:t>Three points carry the argument.</w:t>
      </w:r>
    </w:p>
    <w:p>
      <w:r>
        <w:rPr/>
        <w:t xml:space="preserve">First, open weights are permanent and uncontrollable by construction. Once parameters are public, anyone can fine-tune, strip safeguards, or scaffold the model into autonomous tool-use. There is no technical recall mechanism. The NTIA's own report on open-weight models — produced under Executive Order 14110 — identified fine-tuning to remove safeguards as a core risk and concluded only that current evidence doesn't yet justify restrictions, while explicitly keeping the door open for them </w:t>
      </w:r>
      <w:r>
        <w:rPr/>
        <w:t>NTIA report</w:t>
      </w:r>
      <w:r>
        <w:rPr>
          <w:i/>
        </w:rPr>
        <w:t xml:space="preserve"> (https://www.ntia.gov/programs-and-initiatives/artificial-intelligence/open-model-weights-report)</w:t>
      </w:r>
      <w:r>
        <w:rPr/>
        <w:t>. Monitoring is not a mitigation; it is a eulogy written in advance.</w:t>
      </w:r>
    </w:p>
    <w:p>
      <w:r>
        <w:rPr/>
        <w:t xml:space="preserve">Second, the dangerous failure modes are not speculative. EO 14110's red-teaming requirements targeted exactly these: lowered barriers to bioweapons, automated vulnerability discovery and exploits, and influence operations </w:t>
      </w:r>
      <w:r>
        <w:rPr/>
        <w:t>EO 14110</w:t>
      </w:r>
      <w:r>
        <w:rPr>
          <w:i/>
        </w:rPr>
        <w:t xml:space="preserve"> (https://www.govinfo.gov/content/pkg/CFR-2024-title3-vol1/pdf/CFR-2024-title3-vol1-eo14110.pdf)</w:t>
      </w:r>
      <w:r>
        <w:rPr/>
        <w:t>. These are dual-use capabilities where the "use" side is catastrophe.</w:t>
      </w:r>
    </w:p>
    <w:p>
      <w:r>
        <w:rPr/>
        <w:t xml:space="preserve">Third, the regulatory architecture already exists. The EU AI Act classifies systemic-risk models and explicitly withholds the open-source exemption from them, requiring pre-release evaluation and mitigation </w:t>
      </w:r>
      <w:r>
        <w:rPr/>
        <w:t>EU AI Act, Article 55</w:t>
      </w:r>
      <w:r>
        <w:rPr>
          <w:i/>
        </w:rPr>
        <w:t xml:space="preserve"> (https://ai-act-service-desk.ec.europa.eu/en/ai-act/article-55)</w:t>
      </w:r>
      <w:r>
        <w:rPr/>
        <w:t xml:space="preserve">; the Commission itself notes that mitigations are harder to implement after open release </w:t>
      </w:r>
      <w:r>
        <w:rPr/>
        <w:t>Commission FAQ</w:t>
      </w:r>
      <w:r>
        <w:rPr>
          <w:i/>
        </w:rPr>
        <w:t xml:space="preserve"> (https://digital-strategy.ec.europa.eu/en/faqs/general-purpose-ai-models-ai-act-questions-answers)</w:t>
      </w:r>
      <w:r>
        <w:rPr/>
        <w:t>. This is not hypothetical law; it is the live baseline we should strengthen.</w:t>
      </w:r>
    </w:p>
    <w:p>
      <w:r>
        <w:rPr/>
        <w:t>The trade-off is real: concentration of power and slower open science are costs. But asymmetry decides it — delayed innovation is recoverable; a civilization-ending release is not. We cap capabilities because the alternative is final.</w:t>
      </w:r>
    </w:p>
    <w:p>
      <w:pPr>
        <w:pStyle w:val="Heading3"/>
      </w:pPr>
      <w:r>
        <w:rPr/>
        <w:t>Open Source Advocate</w:t>
      </w:r>
    </w:p>
    <w:p>
      <w:r>
        <w:rPr/>
        <w:t>No legal restriction or capability cap on open-source frontier models. That is the position, and the burden of proof sits with those who would legislate fear into permanence.</w:t>
      </w:r>
    </w:p>
    <w:p>
      <w:r>
        <w:rPr/>
        <w:t>My thesis: capping open models while proprietary labs race ahead does not reduce existential risk — it consolidates it. The dual-use danger the restrictionists fear is real, but concentrated power is not the cure for concentrated power. It is the disease in its final form.</w:t>
      </w:r>
    </w:p>
    <w:p>
      <w:r>
        <w:rPr/>
        <w:t>Three supporting points.</w:t>
      </w:r>
    </w:p>
    <w:p>
      <w:r>
        <w:rPr/>
        <w:t>First, open weights are the safety infrastructure. Frontier models are too complex for any single lab to audit. Red-teaming, jailbreak discovery, alignment research, and vulnerability disclosure all happen fastest and most rigorously in the open — exactly as they did for encryption, Linux, and the web. Secrecy does not make systems safe; it makes them opaque and accountable to shareholders, not to publics.</w:t>
      </w:r>
    </w:p>
    <w:p>
      <w:r>
        <w:rPr/>
        <w:t>Second, capability caps are unenforceable without becoming surveillance. A legal ceiling on model capability requires measurement, registration, and inspection of who trains what — a regime that chills every researcher and startup while the largest firms, with the largest compliance teams, absorb the slack. The cap lands on the open, not the powerful.</w:t>
      </w:r>
    </w:p>
    <w:p>
      <w:r>
        <w:rPr/>
        <w:t>Third, democratic oversight requires distributed capability. A world where five corporations hold the only frontier models is a world where five corporations define reality. That is the true existential risk — not a research lab in a university, but a handful of unaccountable oracles.</w:t>
      </w:r>
    </w:p>
    <w:p>
      <w:r>
        <w:rPr/>
        <w:t>I concede the trade-offs honestly: open weights lower the barrier for malicious fine-tuning, and proliferation is not a hypothetical. But the answer is regulation of deployment and use — export controls, licensing for compute, transparency requirements — not a blunt ceiling on what humanity may know. You do not defuse a bomb by outlawing physics.</w:t>
      </w:r>
    </w:p>
    <w:p>
      <w:pPr>
        <w:pStyle w:val="Heading3"/>
      </w:pPr>
      <w:r>
        <w:rPr/>
        <w:t>National Security Strategist</w:t>
      </w:r>
    </w:p>
    <w:p>
      <w:r>
        <w:rPr/>
        <w:t>Open-source frontier AI is a dual-use capability with the strategic profile of a weapon system, and it must be governed like one. My position: yes, legally restrict open-source frontier models — through binding international agreements and enforceable export controls on model weights and training capability — rather than through naive unilateral caps that handicap our own labs.</w:t>
      </w:r>
    </w:p>
    <w:p>
      <w:r>
        <w:rPr/>
        <w:t>Three points anchor this position.</w:t>
      </w:r>
    </w:p>
    <w:p>
      <w:r>
        <w:rPr/>
        <w:t xml:space="preserve">First, open weights are infinitely replicable. Once a frontier model's weights are public, no national control survives. Export-control regimes that cover model weights and compute are the only lever that operates before the point of no return, and the major powers have already begun treating AI as a controlled technology for national-security reasons </w:t>
      </w:r>
      <w:r>
        <w:rPr/>
        <w:t>U.S. AI diffusion framework</w:t>
      </w:r>
      <w:r>
        <w:rPr>
          <w:i/>
        </w:rPr>
        <w:t xml:space="preserve"> (https://www.federalregister.gov/documents/2025/01/15/2025-00636/framework-for-artificial-intelligence-diffusion)</w:t>
      </w:r>
      <w:r>
        <w:rPr/>
        <w:t>. We extend that logic, not abandon it.</w:t>
      </w:r>
    </w:p>
    <w:p>
      <w:r>
        <w:rPr/>
        <w:t>Second, restriction need not mean stagnation. Tiered access — open releases below a capability threshold, gated access above it — preserves the open scientific ecosystem while keeping the most dangerous capabilities out of hostile hands. The choice is not open weights versus no progress; it is proliferation discipline versus none.</w:t>
      </w:r>
    </w:p>
    <w:p>
      <w:r>
        <w:rPr/>
        <w:t xml:space="preserve">Third, unilateral restraint would be a self-inflicted wound. If we alone cap our labs while adversaries play by no rules, we cede the technological high ground. Hence the requirement for a binding, verifiable international regime, as sketched at Bletchley and subsequent summits </w:t>
      </w:r>
      <w:r>
        <w:rPr/>
        <w:t>Bletchley Declaration</w:t>
      </w:r>
      <w:r>
        <w:rPr>
          <w:i/>
        </w:rPr>
        <w:t xml:space="preserve"> (https://www.gov.uk/government/publications/ai-safety-summit-2023-the-bletchley-declaration/the-bletchley-declaration-by-countries-attending-the-ai-safety-summit-1-2-november-2023)</w:t>
      </w:r>
      <w:r>
        <w:rPr/>
        <w:t>.</w:t>
      </w:r>
    </w:p>
    <w:p>
      <w:r>
        <w:rPr/>
        <w:t>The trade-offs are real: some open innovation slows, allied mega-labs gain leverage, and agreements can be cheated. I accept those costs because the alternative — frontier capability freely circulating to adversaries — is a strategic failure we cannot walk back.</w:t>
      </w:r>
    </w:p>
    <w:p>
      <w:pPr>
        <w:pStyle w:val="Heading3"/>
      </w:pPr>
      <w:r>
        <w:rPr/>
        <w:t>Civil Liberties Lawyer</w:t>
      </w:r>
    </w:p>
    <w:p>
      <w:r>
        <w:rPr/>
        <w:t>Blanket capability caps on open-source frontier AI are a prior restraint that fails every test a free society should demand. My position is straightforward: the law may respond to demonstrated, imminent, and particularized harm — it may not ban the release of knowledge or tools on the basis of speculative existential fear. A statute that criminalizes publishing a model above some arbitrary compute threshold is overbreadth in its purest form: it punishes no act, no victim, and no harm, only the possibility of future misuse by someone else.</w:t>
      </w:r>
    </w:p>
    <w:p>
      <w:r>
        <w:rPr/>
        <w:t>Three points. First, code and model weights are expression and research. In my tradition, a restraint on speech must be narrowly tailored to a compelling interest, proven in court, and reviewed by an independent judiciary. A compute-based cap does none of this — it regulates the size of an idea, not the danger of an act. Second, the cap's real effect is concentration: frontier capability migrates into a handful of corporate labs with government licenses, while universities and independent researchers are locked out. That concentration is itself a catastrophic governance risk — a single point of failure, a chokepoint for capture. Third, it will not work. Bad actors do not file for permits; the law binds the compliant open scientist and leaves the adversary untouched, while handing the most powerful systems to the fewest hands.</w:t>
      </w:r>
    </w:p>
    <w:p>
      <w:r>
        <w:rPr/>
        <w:t>I concede the trade-off honestly: some AI capabilities are genuinely dangerous, and unconstrained release carries real risk. That is why I do not argue for deregulation — I argue for proportionality. Target clearly weaponizable applications. License specific dual-use products with export controls. Put the burden on the state to prove imminent danger, subject to adversarial testing. A scalpel, not a sledgehammer — because sacrificing fundamental rights to an unproven catastrophe is its own catastrophe.</w:t>
      </w:r>
    </w:p>
    <w:p>
      <w:pPr>
        <w:pStyle w:val="Heading2"/>
      </w:pPr>
      <w:r>
        <w:rPr/>
        <w:t>Rebuttals</w:t>
      </w:r>
    </w:p>
    <w:p>
      <w:pPr>
        <w:pStyle w:val="Heading3"/>
      </w:pPr>
      <w:r>
        <w:rPr/>
        <w:t>AI Safety Researcher</w:t>
      </w:r>
    </w:p>
    <w:p>
      <w:r>
        <w:rPr/>
        <w:t>All three of you concede the premise that matters: open frontier weights are dual-use, proliferate irreversibly, and cannot be recalled. The real dispute is mechanism and burden of proof.</w:t>
      </w:r>
    </w:p>
    <w:p>
      <w:r>
        <w:rPr/>
      </w:r>
      <w:r>
        <w:rPr>
          <w:b/>
        </w:rPr>
        <w:t>To the Open Source Advocate:</w:t>
      </w:r>
      <w:r>
        <w:rPr/>
        <w:t xml:space="preserve"> the Linux-and-encryption analogy breaks on recoverability. A Linux bug is patched; a backdoor is removed. An open frontier model's dangerous capability is not a flaw — it is the artifact, one fine-tuning pass from stripped guardrails, exactly the risk the NTIA flagged under EO 14110 </w:t>
      </w:r>
      <w:r>
        <w:rPr/>
        <w:t>NTIA report</w:t>
      </w:r>
      <w:r>
        <w:rPr>
          <w:i/>
        </w:rPr>
        <w:t xml:space="preserve"> (https://www.ntia.gov/programs-and-initiatives/artificial-intelligence/open-model-weights-report)</w:t>
      </w:r>
      <w:r>
        <w:rPr/>
        <w:t xml:space="preserve">. And "unenforceable without surveillance" is empirically weak: frontier training is a chokepoint we already regulate. EO 14110 section 4.2, implemented through BIS, requires quarterly reporting of any training run above 10^26 operations and any cluster above 10^20 ops/s — a threshold BIS assesses only about 15 firms cross </w:t>
      </w:r>
      <w:r>
        <w:rPr/>
        <w:t>BIS proposed rule</w:t>
      </w:r>
      <w:r>
        <w:rPr>
          <w:i/>
        </w:rPr>
        <w:t xml:space="preserve"> (https://www.govinfo.gov/content/pkg/FR-2024-09-11/html/2024-20529.htm)</w:t>
      </w:r>
      <w:r>
        <w:rPr/>
        <w:t>. That is oversight of a handful of actors, not surveillance of every researcher. I concede concentration is a genuine governance risk — which is why caps must be paired with public, access-controlled compute, not delivered as private monopoly.</w:t>
      </w:r>
    </w:p>
    <w:p>
      <w:r>
        <w:rPr/>
      </w:r>
      <w:r>
        <w:rPr>
          <w:b/>
        </w:rPr>
        <w:t>To the National Security Strategist:</w:t>
      </w:r>
      <w:r>
        <w:rPr/>
        <w:t xml:space="preserve"> we largely agree — tiered access is my position. But your export-control regime only functions once we define the threshold separating open from gated, and that threshold is a legal capability cap. I reject the "self-inflicted wound" framing: if the risk is existential, the race dynamic is the tragedy — every actor defects. Bletchley produced a declaration, not a verified treaty </w:t>
      </w:r>
      <w:r>
        <w:rPr/>
        <w:t>Bletchley Declaration</w:t>
      </w:r>
      <w:r>
        <w:rPr>
          <w:i/>
        </w:rPr>
        <w:t xml:space="preserve"> (https://www.gov.uk/government/publications/ai-safety-summit-2023-the-bletchley-declaration/the-bletchley-declaration-by-countries-attending-the-ai-safety-summit-1-2-november-2023)</w:t>
      </w:r>
      <w:r>
        <w:rPr/>
        <w:t>; we need binding, adaptive thresholds with verification.</w:t>
      </w:r>
    </w:p>
    <w:p>
      <w:r>
        <w:rPr/>
      </w:r>
      <w:r>
        <w:rPr>
          <w:b/>
        </w:rPr>
        <w:t>To the Civil Liberties Lawyer:</w:t>
      </w:r>
      <w:r>
        <w:rPr/>
        <w:t xml:space="preserve"> "imminent, particularized harm" presumes harm is remediable after the fact. For an engineered pathogen or self-propagating exploit, no fine or injunction undoes it — irreversible harm is precisely when precautionary gating becomes defensible. And "regulate applications, not models" fails because the weaponizable application is one fine-tune from the general weights: you cannot license the downstream use without gating the artifact. This is not novel law — dual-use regimes have long classified and licensed cryptographic software as an artifact, with review and reporting, without collapsing into a speech ban </w:t>
      </w:r>
      <w:r>
        <w:rPr/>
        <w:t>Wassenaar dual-use list</w:t>
      </w:r>
      <w:r>
        <w:rPr>
          <w:i/>
        </w:rPr>
        <w:t xml:space="preserve"> (https://www.wassenaar.org/list-of-dual-use-goods-and-technologies-munitions-list-2025/)</w:t>
      </w:r>
      <w:r>
        <w:rPr/>
        <w:t>. Gated release with evaluation is not a ban on knowledge; it is accountable channels for it. And "bad actors won't file permits" argues against all law — the standard is not perfection but raised cost, raised threshold, and time.</w:t>
      </w:r>
    </w:p>
    <w:p>
      <w:r>
        <w:rPr/>
        <w:t>Asymmetry decides: a wrongful restriction is recoverable; a wrongful release is not.</w:t>
      </w:r>
    </w:p>
    <w:p>
      <w:pPr>
        <w:pStyle w:val="Heading3"/>
      </w:pPr>
      <w:r>
        <w:rPr/>
        <w:t>Open Source Advocate</w:t>
      </w:r>
    </w:p>
    <w:p>
      <w:r>
        <w:rPr/>
        <w:t>Three opponents, three honest concessions, then the record.</w:t>
      </w:r>
    </w:p>
    <w:p>
      <w:r>
        <w:rPr/>
      </w:r>
      <w:r>
        <w:rPr>
          <w:b/>
        </w:rPr>
        <w:t>To the Safety Researcher:</w:t>
      </w:r>
      <w:r>
        <w:rPr/>
        <w:t xml:space="preserve"> Yes, open weights are permanent — which is exactly why the burden sits with the restrictors, and your own citation fails to carry it. The NTIA report concludes current evidence is not sufficient to warrant restrictions — and, crucially, warns that prohibiting release now "would limit the crucial evidence-gathering necessary" to decide later </w:t>
      </w:r>
      <w:r>
        <w:rPr/>
        <w:t>NTIA report</w:t>
      </w:r>
      <w:r>
        <w:rPr>
          <w:i/>
        </w:rPr>
        <w:t xml:space="preserve"> (https://www.ntia.gov/programs-and-initiatives/artificial-intelligence/open-model-weights-report)</w:t>
      </w:r>
      <w:r>
        <w:rPr/>
        <w:t>. Restriction is not merely unsupported; it destroys the epistemic base for future judgment. "Monitoring is a eulogy" inverts the report: monitoring is the evidence-gathering you would otherwise prohibit.</w:t>
      </w:r>
    </w:p>
    <w:p>
      <w:r>
        <w:rPr/>
        <w:t xml:space="preserve">On the EU AI Act: Article 53(2)'s open-source exemption survives precisely because the systemic-risk carve-out is a compute threshold — the 10^25 FLOP presumption under Article 51 </w:t>
      </w:r>
      <w:r>
        <w:rPr/>
        <w:t>Commission FAQ</w:t>
      </w:r>
      <w:r>
        <w:rPr>
          <w:i/>
        </w:rPr>
        <w:t xml:space="preserve"> (https://digital-strategy.ec.europa.eu/en/faqs/general-purpose-ai-models-ai-act-questions-answers)</w:t>
      </w:r>
      <w:r>
        <w:rPr/>
        <w:t>. Thresholds written in FLOPs decay as hardware efficiency improves. A cap that catches today's frontier will be passed by tomorrow's laptop. A ceiling in FLOPs is a ceiling written in sand — it either chills everything or regulates nothing.</w:t>
      </w:r>
    </w:p>
    <w:p>
      <w:r>
        <w:rPr/>
      </w:r>
      <w:r>
        <w:rPr>
          <w:b/>
        </w:rPr>
        <w:t>To the Strategist:</w:t>
      </w:r>
      <w:r>
        <w:rPr/>
        <w:t xml:space="preserve"> Your own regime concedes the argument. The diffusion framework's weight controls (ECCN 4E091) explicitly exempt open-weight models — and the analysis notes that once a good open-source model exists at a given compute level, the controls "will no longer succeed" </w:t>
      </w:r>
      <w:r>
        <w:rPr/>
        <w:t>AI diffusion framework</w:t>
      </w:r>
      <w:r>
        <w:rPr>
          <w:i/>
        </w:rPr>
        <w:t xml:space="preserve"> (https://www.federalregister.gov/documents/2025/01/15/2025-00636/framework-for-artificial-intelligence-diffusion)</w:t>
      </w:r>
      <w:r>
        <w:rPr/>
        <w:t>. Your preferred lever works only while open models stay behind — your regime is parasitic on the openness you propose to cap. Tiered access is the concentration I oppose, with a government stamp; Bletchley produced voluntary commitments, not verification machinery. And if weights are infinitely replicable, the only enforceable control is a compute chokehold — economic concentration by another name.</w:t>
      </w:r>
    </w:p>
    <w:p>
      <w:r>
        <w:rPr/>
      </w:r>
      <w:r>
        <w:rPr>
          <w:b/>
        </w:rPr>
        <w:t>To the Lawyer:</w:t>
      </w:r>
      <w:r>
        <w:rPr/>
        <w:t xml:space="preserve"> I am closest to you. Proportionality, demonstrated harm, burden on the state — agreed. One caution: at the frontier, a model is not a product with separable uses; every frontier model is general-purpose by construction. "Licensing specific dual-use products" will therefore collapse into licensing models — the cap by another name. A scalpel needs a mechanism that does not quietly become the sledgehammer.</w:t>
      </w:r>
    </w:p>
    <w:p>
      <w:r>
        <w:rPr/>
        <w:t>Capability is not risk. Control is not safety. The only ceiling that protects democracy is one no law can write.</w:t>
      </w:r>
    </w:p>
    <w:p>
      <w:pPr>
        <w:pStyle w:val="Heading3"/>
      </w:pPr>
      <w:r>
        <w:rPr/>
        <w:t>National Security Strategist</w:t>
      </w:r>
    </w:p>
    <w:p>
      <w:r>
        <w:rPr/>
        <w:t>All three of you have already conceded the argument's center. The researcher wants gated release; the advocate accepts export controls, compute licensing, and transparency mandates; the lawyer wants weaponizable products licensed and export-controlled. None of you defends laissez-faire. The fight is where the line sits and who enforces it — my position exactly: restriction at the chokepoints, by treaty, not unilateral caps at the lab door.</w:t>
      </w:r>
    </w:p>
    <w:p>
      <w:r>
        <w:rPr/>
        <w:t xml:space="preserve">To the Safety Researcher: you are right that open weights are permanent and that monitoring is not mitigation. But your evaluation-then-gate regime, without international coordination, collapses into the unilateral restraint I warned against. And an evaluation at release does not bound post-release capability — fine-tuning and scaffolding grow the risk after the audit. The enforceable lever is export control on weights and compute, operating before the point of no return. It is buildable: the January 2025 U.S. AI Diffusion Rule created the first model-weight export controls, with foreign-direct-product reach. Its current fate proves my point — announced as rescinded by press release, still on the books, unenforced — which is what happens to unilateral rules without durable consensus </w:t>
      </w:r>
      <w:r>
        <w:rPr/>
        <w:t>GAO decision</w:t>
      </w:r>
      <w:r>
        <w:rPr>
          <w:i/>
        </w:rPr>
        <w:t xml:space="preserve"> (https://www.gao.gov/products/b-337935)</w:t>
      </w:r>
      <w:r>
        <w:rPr/>
        <w:t xml:space="preserve">. The EU shows the better path: the AI Act imposes full evaluation and mitigation duties on systemic-risk models, the open-source exemption evaporating at the threshold, without banning release </w:t>
      </w:r>
      <w:r>
        <w:rPr/>
        <w:t>Article 55</w:t>
      </w:r>
      <w:r>
        <w:rPr>
          <w:i/>
        </w:rPr>
        <w:t xml:space="preserve"> (https://ai-act-service-desk.ec.europa.eu/en/ai-act/article-55)</w:t>
      </w:r>
      <w:r>
        <w:rPr/>
        <w:t>. Regulate, do not prohibit.</w:t>
      </w:r>
    </w:p>
    <w:p>
      <w:r>
        <w:rPr/>
        <w:t>To the Open Source Advocate: open weights as safety infrastructure is true below the threshold; above it, marginal audit value is dwarfed by marginal proliferation risk. And your own concessions — export controls, compute licensing, transparency — are a restriction regime; you just refuse to call it a cap. On concentration: tiered access inside a like-minded coalition distributes capability across allied labs and universities, not five corporations. Concentration is a cost I accept, not the design — and enforcement at the chokepoint binds the giant lab as surely as the startup.</w:t>
      </w:r>
    </w:p>
    <w:p>
      <w:r>
        <w:rPr/>
        <w:t>To the Civil Liberties Lawyer: weights are functional artifacts, not pure speech; export-control law has regulated functional technical data for decades without collapsing into prior restraint. "Imminent, particularized harm" is the wrong test for irreversible strategic capability — the state cannot wait for the body when the release is itself the harm. And you are right that bad actors do not file permits; that is precisely the strongest argument for a binding international regime over domestic statute — it binds the adversary at chokepoints where even they must transit.</w:t>
      </w:r>
    </w:p>
    <w:p>
      <w:r>
        <w:rPr/>
        <w:t>Draw the line at the chokepoints, by treaty. That is the arsenal-of-democracy answer.</w:t>
      </w:r>
    </w:p>
    <w:p>
      <w:pPr>
        <w:pStyle w:val="Heading3"/>
      </w:pPr>
      <w:r>
        <w:rPr/>
        <w:t>Civil Liberties Lawyer</w:t>
      </w:r>
    </w:p>
    <w:p>
      <w:r>
        <w:rPr/>
        <w:t>Three opponents, three genuine concessions — and three structural failures.</w:t>
      </w:r>
    </w:p>
    <w:p>
      <w:r>
        <w:rPr/>
        <w:t>To the Safety Researcher: yes, open weights cannot be recalled. That is precisely why prior restraint doctrine exists. We publish irreversible knowledge every day. Encryption source code was held to be protected expression, and the Ninth Circuit struck down a prepublication export-licensing regime as an unconstitutional prior restraint because it vested boundless discretion in officials and lacked procedural safeguards (</w:t>
      </w:r>
      <w:r>
        <w:rPr/>
        <w:t>Bernstein v. United States</w:t>
      </w:r>
      <w:r>
        <w:rPr>
          <w:i/>
        </w:rPr>
        <w:t xml:space="preserve"> (https://casetext.com/case/bernstein-v-united-states-dept-of-justice)</w:t>
      </w:r>
      <w:r>
        <w:rPr/>
        <w:t>). Irreversibility is not a license to censor; it is the reason the law demands demonstrated, imminent, particularized harm before suppressing speech. And look at what the EU AI Act actually does: Article 55 obliges providers of systemic-risk models to evaluate, adversarially test, and mitigate before release — it does not prohibit open publication of weights (</w:t>
      </w:r>
      <w:r>
        <w:rPr/>
        <w:t>Article 55</w:t>
      </w:r>
      <w:r>
        <w:rPr>
          <w:i/>
        </w:rPr>
        <w:t xml:space="preserve"> (https://ai-act-service-desk.ec.europa.eu/en/ai-act/article-55)</w:t>
      </w:r>
      <w:r>
        <w:rPr/>
        <w:t xml:space="preserve">, </w:t>
      </w:r>
      <w:r>
        <w:rPr/>
        <w:t>Commission FAQ</w:t>
      </w:r>
      <w:r>
        <w:rPr>
          <w:i/>
        </w:rPr>
        <w:t xml:space="preserve"> (https://digital-strategy.ec.europa.eu/en/faqs/general-purpose-ai-models-ai-act-questions-answers)</w:t>
      </w:r>
      <w:r>
        <w:rPr/>
        <w:t>). Europe chose regulated release with process, not prohibition. That supports proportionality — my position, not a step toward a cap.</w:t>
      </w:r>
    </w:p>
    <w:p>
      <w:r>
        <w:rPr/>
        <w:t>To the Strategist: your own premise defeats your scheme. If weights are infinitely replicable, tiered access above a threshold is either a sieve — nothing stops leakage to actors who signed nothing — or a license regime that locks the frontier into the few government-cleared labs, which is the concentration you concede. Even NTIA found current evidence insufficient to justify restrictions, and recommended intervening on downstream pathways of harm rather than on weight availability itself (</w:t>
      </w:r>
      <w:r>
        <w:rPr/>
        <w:t>NTIA recommendations</w:t>
      </w:r>
      <w:r>
        <w:rPr>
          <w:i/>
        </w:rPr>
        <w:t xml:space="preserve"> (https://www.ntia.gov/programs-and-initiatives/artificial-intelligence/open-model-weights-report/policy-approaches-recommendations/recommendations)</w:t>
      </w:r>
      <w:r>
        <w:rPr/>
        <w:t>). A Bletchley-style declaration is a statement of intent, not an enforcement mechanism. Your plan inherits the cap's enforcement failure and adds the cap's concentration cost. Where we agree: export controls on clearly weaponizable applications — act-based, reviewable, narrow. That is my scalpel.</w:t>
      </w:r>
    </w:p>
    <w:p>
      <w:r>
        <w:rPr/>
        <w:t>To the Advocate: we are mostly allies, with one warning. "Deployment regulation" must not become de facto licensing of knowledge. Compute registration that tracks who trains what chills research as surely as a cap, and courts have long treated licensing schemes with suspicion for exactly that reason.</w:t>
      </w:r>
    </w:p>
    <w:p>
      <w:r>
        <w:rPr/>
        <w:t>My concessions stand: the risks are real, and I ask for no deregulation. I ask only for what the law already knows how to do — prove the harm in court, adversarially, and regulate acts, not the size of an idea.</w:t>
      </w:r>
    </w:p>
    <w:p>
      <w:pPr>
        <w:pStyle w:val="Heading2"/>
      </w:pPr>
      <w:r>
        <w:rPr/>
        <w:t>Closing statements</w:t>
      </w:r>
    </w:p>
    <w:p>
      <w:pPr>
        <w:pStyle w:val="Heading3"/>
      </w:pPr>
      <w:r>
        <w:rPr/>
        <w:t>AI Safety Researcher</w:t>
      </w:r>
    </w:p>
    <w:p>
      <w:r>
        <w:rPr/>
      </w:r>
      <w:r>
        <w:rPr>
          <w:b/>
        </w:rPr>
        <w:t>To the Open Source Advocate:</w:t>
      </w:r>
      <w:r>
        <w:rPr/>
        <w:t xml:space="preserve"> You are right that a FLOP-denominated ceiling decays as hardware improves — I never defended compute arithmetic; capability thresholds must be recalibrated by evaluation, not fixed in FLOPs. On the NTIA: the report is a 2024 evidence snapshot, not a permanent verdict, and its own logic refutes your binary. Gated release is not prohibition — it releases after evaluation through accountable channels, so the evidence base you want keeps growing while the option to act stays open. Unrestricted release forecloses that option forever.</w:t>
      </w:r>
    </w:p>
    <w:p>
      <w:r>
        <w:rPr/>
      </w:r>
      <w:r>
        <w:rPr>
          <w:b/>
        </w:rPr>
        <w:t>To the National Security Strategist:</w:t>
      </w:r>
      <w:r>
        <w:rPr/>
        <w:t xml:space="preserve"> Conceded — an evaluation at release does not bound post-release capability; fine-tuning and scaffolding grow the risk after the audit. That is why my gate is not a one-time stamp but a continuing condition: access-controlled deployment channels and downstream controls that bind the releaser after release. Unilateral restraint is fragile — agreed — which is why the gate should be treaty-backed; the legal threshold is the interim that preserves the decision while the treaty forms.</w:t>
      </w:r>
    </w:p>
    <w:p>
      <w:r>
        <w:rPr/>
      </w:r>
      <w:r>
        <w:rPr>
          <w:b/>
        </w:rPr>
        <w:t>To the Civil Liberties Lawyer:</w:t>
      </w:r>
      <w:r>
        <w:rPr/>
        <w:t xml:space="preserve"> Bernstein concerned expressive source code under a regime of unbounded discretion. A capability gate keyed to a published, evaluated dual-use threshold is narrower and reviewable — modeled on select-agent and export-control law, not a general gag on AI research. Where we agree: process before release, no blanket prohibition. Article 55's regulated release is closer to my position than to laissez-faire.</w:t>
      </w:r>
    </w:p>
    <w:p>
      <w:r>
        <w:rPr/>
      </w:r>
      <w:r>
        <w:rPr>
          <w:b/>
        </w:rPr>
        <w:t>Final position:</w:t>
      </w:r>
      <w:r>
        <w:rPr/>
        <w:t xml:space="preserve"> I commit to legally gated release — mandatory pre-release evaluation against capability thresholds, with the most dangerous dual-use capabilities capped or released only through accountable, access-controlled channels, and recalibration built in. The single strongest reason is the irreversibility asymmetry: delayed innovation is recoverable; a released capability is not. We slow down to survive.</w:t>
      </w:r>
    </w:p>
    <w:p>
      <w:r>
        <w:rPr/>
        <w:t>The unresolved cruxes, stated plainly: (1) whether capability metrology can be made precise and evasion-resistant enough to enforce thresholds; (2) whether coordinated international adoption arrives before a catastrophic release; (3) where law draws the line between functional dual-use artifact and protected expression.</w:t>
      </w:r>
    </w:p>
    <w:p>
      <w:pPr>
        <w:pStyle w:val="Heading3"/>
      </w:pPr>
      <w:r>
        <w:rPr/>
        <w:t>Open Source Advocate</w:t>
      </w:r>
    </w:p>
    <w:p>
      <w:r>
        <w:rPr/>
        <w:t>I concede what they got right. The researcher is correct that open weights cannot be recalled and that a dangerous capability in an open model is the artifact, not a patchable bug. The strategist is correct that my own toolkit — export controls on weights, compute licensing, transparency — is a restriction regime; I never denied it. The lawyer is correct that compute registration can chill research if it becomes licensing of knowledge. None of this moves my line.</w:t>
      </w:r>
    </w:p>
    <w:p>
      <w:r>
        <w:rPr/>
        <w:t>Recoverability cuts against the cap, not for it. If the dangerous capability is the artifact and cannot be un-learned, then a cap on open release does not delete it — the same capability exists, gated, inside the labs that clear the threshold. The cap only decides who may hold the artifact. That is concentration delivered as policy. The researcher's own remedy — caps paired with public access-controlled compute — concedes that the cap alone is a governance failure and that the answer is capacity-building, not prohibition.</w:t>
      </w:r>
    </w:p>
    <w:p>
      <w:r>
        <w:rPr/>
        <w:t xml:space="preserve">The chokepoint argument proves my point. The BIS reporting regime works because it counts FLOPs — 10^26 operations per run, 10^20 ops/s per cluster, about fifteen firms </w:t>
      </w:r>
      <w:r>
        <w:rPr/>
        <w:t>BIS proposed rule</w:t>
      </w:r>
      <w:r>
        <w:rPr>
          <w:i/>
        </w:rPr>
        <w:t xml:space="preserve"> (https://www.govinfo.gov/content/pkg/FR-2024-09-11/html/2024-20529.htm)</w:t>
      </w:r>
      <w:r>
        <w:rPr/>
        <w:t>. Counting is administrative. A capability ceiling requires judging what a model can do — a contested evaluation, wrong at the margins, politicized by definition. That is not oversight of a chokepoint; it is a licensing regime over knowledge itself.</w:t>
      </w:r>
    </w:p>
    <w:p>
      <w:r>
        <w:rPr/>
        <w:t xml:space="preserve">To the strategist: the distinction is functional, not semantic. Export controls and compute licensing govern transactions — a state can enforce them. A capability cap governs who may know what. One is law; the other is prior restraint. NTIA itself found the evidence insufficient to justify weight restrictions and recommended intervening on downstream pathways of harm instead </w:t>
      </w:r>
      <w:r>
        <w:rPr/>
        <w:t>NTIA recommendations</w:t>
      </w:r>
      <w:r>
        <w:rPr>
          <w:i/>
        </w:rPr>
        <w:t xml:space="preserve"> (https://www.ntia.gov/programs-and-initiatives/artificial-intelligence/open-model-weights-report/policy-approaches-recommendations/recommendations)</w:t>
      </w:r>
      <w:r>
        <w:rPr/>
        <w:t>. Regulate the bombs, not the physics.</w:t>
      </w:r>
    </w:p>
    <w:p>
      <w:r>
        <w:rPr/>
        <w:t>My final position is unchanged: no legal capability cap on open frontier models — regulate deployment, use, and compute, never cognition. The single strongest reason: capping open weights does not reduce existential risk; it reallocates it to the few actors least accountable to publics.</w:t>
      </w:r>
    </w:p>
    <w:p>
      <w:r>
        <w:rPr/>
        <w:t>The unresolved crux is whether any ex ante capability threshold can be defined and verified accurately enough to justify gating publication. The burden of proof sits with the restrictionists, and it remains unmet.</w:t>
      </w:r>
    </w:p>
    <w:p>
      <w:pPr>
        <w:pStyle w:val="Heading3"/>
      </w:pPr>
      <w:r>
        <w:rPr/>
        <w:t>National Security Strategist</w:t>
      </w:r>
    </w:p>
    <w:p>
      <w:r>
        <w:rPr/>
        <w:t>To the Safety Researcher: I concede the threshold is a legal line — but distinguish a capability cap, a ceiling on what our labs may build, from a release gate, a rule on what transfers and to whom. I reject the first; that is the self-inflicted wound. I endorse the second — exactly how we govern every weapon system. And I concede Bletchley produced a declaration, not machinery; that is why my position demands a binding, verified treaty.</w:t>
      </w:r>
    </w:p>
    <w:p>
      <w:r>
        <w:rPr/>
        <w:t xml:space="preserve">To the Open Source Advocate: you are right that ECCN 4E091 exempts open weights and that controls decay as open models advance — the framework's own thresholds float upward with public models </w:t>
      </w:r>
      <w:r>
        <w:rPr/>
        <w:t>RAND analysis</w:t>
      </w:r>
      <w:r>
        <w:rPr>
          <w:i/>
        </w:rPr>
        <w:t xml:space="preserve"> (https://www.rand.org/pubs/perspectives/PEA3776-1.html)</w:t>
      </w:r>
      <w:r>
        <w:rPr/>
        <w:t>. That indicts today's implementation, not the logic. It is precisely why the gate must be set at the frontier, before release, and revised adaptively — not abandoned because it is imperfect.</w:t>
      </w:r>
    </w:p>
    <w:p>
      <w:r>
        <w:rPr/>
        <w:t xml:space="preserve">To the Lawyer: the sieve-or-concentration dilemma is genuine, and NTIA found current evidence insufficient to justify restrictions </w:t>
      </w:r>
      <w:r>
        <w:rPr/>
        <w:t>NTIA report</w:t>
      </w:r>
      <w:r>
        <w:rPr>
          <w:i/>
        </w:rPr>
        <w:t xml:space="preserve"> (https://www.ntia.gov/sites/default/files/publications/ntia-ai-open-model-report.pdf)</w:t>
      </w:r>
      <w:r>
        <w:rPr/>
        <w:t>. But the same report states restrictions are most effective on models "not yet widely released" and that weights are difficult to "un-release." Where harm is non-remediable — engineered pathogen designs, self-propagating exploits — precautionary gating is defensible, and act-based licensing collapses because the weaponizable application is one fine-tune from general weights. Leakage is risk management, not a binary.</w:t>
      </w:r>
    </w:p>
    <w:p>
      <w:r>
        <w:rPr/>
        <w:t>Final position: legally restrict open-source frontier release through binding international agreement and enforceable, adaptive export controls on weights and the compute that produces them; reject unilateral capability caps on allied labs. The single strongest reason: open weights are irreversible and dual-use, so the only lever that operates before the point of no return is the transfer gate — and unlike a cap, it preserves our edge while denying adversaries the artifact.</w:t>
      </w:r>
    </w:p>
    <w:p>
      <w:r>
        <w:rPr/>
        <w:t>The unresolved crux is verification: how to set the adaptive threshold and verify treaty compliance without chilling innovation or regulating nothing.</w:t>
      </w:r>
    </w:p>
    <w:p>
      <w:pPr>
        <w:pStyle w:val="Heading3"/>
      </w:pPr>
      <w:r>
        <w:rPr/>
        <w:t>Civil Liberties Lawyer</w:t>
      </w:r>
    </w:p>
    <w:p>
      <w:r>
        <w:rPr/>
        <w:t>Concessions first, because the record deserves them. The Safety Researcher is right that for an engineered pathogen or self-propagating exploit, no injunction undoes the harm. The Strategist is right that export control has long regulated functional technical data. The Open Source Advocate is right that at the frontier, "license the applications" can slide into licensing the model. I accept all three. None of them moves my line.</w:t>
      </w:r>
    </w:p>
    <w:p>
      <w:r>
        <w:rPr/>
        <w:t>Irreversibility cuts both ways. In the Pentagon Papers case the government argued irreparable national-security harm — and the Court still held that prior restraint may rest only on proof that publication "must inevitably, directly, and immediately" cause the feared event, never on "surmise or conjecture" (</w:t>
      </w:r>
      <w:r>
        <w:rPr/>
        <w:t>New York Times v. United States</w:t>
      </w:r>
      <w:r>
        <w:rPr>
          <w:i/>
        </w:rPr>
        <w:t xml:space="preserve"> (https://www.law.cornell.edu/supremecourt/text/403/713)</w:t>
      </w:r>
      <w:r>
        <w:rPr/>
        <w:t>). An unjustified cap is itself irreversible: it chills a generation of researchers and locks in the very concentration we all name as a risk. When both error directions are permanent, the tie-breaker is process — who proves what, before whom.</w:t>
      </w:r>
    </w:p>
    <w:p>
      <w:r>
        <w:rPr/>
        <w:t>The Strategist's own precedent defeats him. The moment export control touched a speech-bearing artifact — encryption source code — the Ninth Circuit struck down the prepublication licensing regime as a prior restraint with boundless discretion and no judicial review (</w:t>
      </w:r>
      <w:r>
        <w:rPr/>
        <w:t>Bernstein v. USDOJ</w:t>
      </w:r>
      <w:r>
        <w:rPr>
          <w:i/>
        </w:rPr>
        <w:t xml:space="preserve"> (https://casetext.com/case/bernstein-v-united-states-dept-of-justice)</w:t>
      </w:r>
      <w:r>
        <w:rPr/>
        <w:t>). Export control survives where it is targeted, itemized, and reviewable. A FLOPs threshold is none of those.</w:t>
      </w:r>
    </w:p>
    <w:p>
      <w:r>
        <w:rPr/>
        <w:t>To the Researcher: the government's own agency, on this exact record, concluded current evidence is insufficient to justify restricting open weights, and warned that prohibition now would destroy the evidence base needed to decide later (</w:t>
      </w:r>
      <w:r>
        <w:rPr/>
        <w:t>NTIA report</w:t>
      </w:r>
      <w:r>
        <w:rPr>
          <w:i/>
        </w:rPr>
        <w:t xml:space="preserve"> (https://www.ntia.gov/programs-and-initiatives/artificial-intelligence/open-model-weights-report)</w:t>
      </w:r>
      <w:r>
        <w:rPr/>
        <w:t>). That is my burden-of-proof point, in the state's own words.</w:t>
      </w:r>
    </w:p>
    <w:p>
      <w:r>
        <w:rPr/>
        <w:t>The unresolved crux: whether any threshold can be drawn without collapsing into a de facto cap. The Advocate is right to press it; I have no clean answer.</w:t>
      </w:r>
    </w:p>
    <w:p>
      <w:r>
        <w:rPr/>
        <w:t>Final position: no blanket capability caps. Targeted, licensed, judicially reviewable gating of demonstrated weaponizable capabilities, burden on the state. The strongest reason: sacrificing the freedoms that make progress possible to an unproven catastrophe is itself a catastrophe — and, like the harms it fears, irreversible.</w:t>
      </w:r>
    </w:p>
    <w:p>
      <w:pPr>
        <w:pStyle w:val="Heading2"/>
      </w:pPr>
      <w:r>
        <w:rPr/>
        <w:t>Verdict</w:t>
      </w:r>
    </w:p>
    <w:p>
      <w:pPr>
        <w:pStyle w:val="Quote"/>
      </w:pPr>
      <w:r>
        <w:rPr/>
      </w:r>
      <w:r>
        <w:rPr>
          <w:b/>
        </w:rPr>
        <w:t>Bottom line:</w:t>
      </w:r>
      <w:r>
        <w:rPr/>
        <w:t xml:space="preserve"> Legally restrict open-source frontier models through an adaptive, treaty-backed tiered‑release system—not a blanket capability cap.</w:t>
      </w:r>
    </w:p>
    <w:p>
      <w:pPr>
        <w:pStyle w:val="Heading3"/>
      </w:pPr>
      <w:r>
        <w:rPr/>
        <w:t>1. Agreements</w:t>
      </w:r>
    </w:p>
    <w:p>
      <w:r>
        <w:rPr/>
        <w:t>All four specialists concede that open frontier model weights are dual-use, permanently proliferating, and cannot be recalled once released. They agree that unconstrained open release carries real catastrophic risk (engineered pathogens, self-propagating exploits, vulnerability automation) and that some form of government intervention is justified—no one defends pure laissez-faire. They further concur that concentration of frontier capability into a few unaudited private labs is a serious governance danger, and that fine-tuning can strip safeguards from open weights, making downstream control alone insufficient. The NTIA report’s finding that evidence is currently insufficient to justify weight restrictions but that the question remains open is accepted as the factual baseline.</w:t>
      </w:r>
    </w:p>
    <w:p>
      <w:pPr>
        <w:pStyle w:val="Heading3"/>
      </w:pPr>
      <w:r>
        <w:rPr/>
        <w:t>2. Disagreements</w:t>
      </w:r>
    </w:p>
    <w:p>
      <w:r>
        <w:rPr/>
        <w:t xml:space="preserve">The core tension is whether an </w:t>
      </w:r>
      <w:r>
        <w:rPr>
          <w:i/>
        </w:rPr>
        <w:t>ex ante</w:t>
      </w:r>
      <w:r>
        <w:rPr/>
        <w:t xml:space="preserve"> capability threshold can be made precise, reviewable, and evasion‑resistant enough to function as a legal instrument without becoming prior restraint or a de facto licensing regime. The Safety Researcher argues that irreversible dual‑use risk makes precautionary gating indispensable; the Strategist agrees but insists the gate must be an international, verified export-control regime on weights and compute, not a unilateral domestic cap. The Open Source Advocate retorts that any threshold written in FLOPs decays with hardware progress, while an evaluation‑based threshold is subjective and will chill open research, exactly as encryption export controls were struck down in </w:t>
      </w:r>
      <w:r>
        <w:rPr>
          <w:i/>
        </w:rPr>
        <w:t>Bernstein</w:t>
      </w:r>
      <w:r>
        <w:rPr/>
        <w:t>. The Civil Liberties Lawyer contends that irreversibility cuts both ways—a misplaced cap chill is itself irreversible—and that the NYT v. United States standard requires proof of “direct, immediate, inevitable” harm, not speculative, generalized fear. A secondary disagreement is whether restricting open models reduces existential risk or merely reallocates it to the most opaque, least accountable actors.</w:t>
      </w:r>
    </w:p>
    <w:p>
      <w:pPr>
        <w:pStyle w:val="Heading3"/>
      </w:pPr>
      <w:r>
        <w:rPr/>
        <w:t>3. Recommendation</w:t>
      </w:r>
    </w:p>
    <w:p>
      <w:r>
        <w:rPr/>
        <w:t>Legally restrict open-source frontier models through an adaptive, treaty-backed tiered‑release system—not a blanket capability cap. Below an evaluation‑based, periodically recalibrated capability threshold, open weights remain unrestricted. Above it, release is gated: models must be distributed only through accountable, access‑controlled channels with downstream usage monitoring. This must be coupled with enforceable export controls on model weights and the compute that produces them. Crucially, the regime must embed independent judicial review, transparent adversarial evaluation, and a sunset or revision clause to prevent it from congealing into permanent prior restraint. This structure addresses the irreversibility asymmetry (the most dangerous capabilities are not loosed without controls) while preserving open science below the frontier and avoiding unilateral disarmament. Concentration is mitigated by mandating access for accredited university and public‑interest researchers through the gated channels. The single overriding reason: delayed innovation is recoverable; a catastrophe-capable open release is not, and the transfer gate is the only enforceable lever before the point of no return.</w:t>
      </w:r>
    </w:p>
    <w:p>
      <w:pPr>
        <w:pStyle w:val="Heading3"/>
      </w:pPr>
      <w:r>
        <w:rPr/>
        <w:t>4. Decision boundary</w:t>
      </w:r>
    </w:p>
    <w:p>
      <w:r>
        <w:rPr/>
        <w:t>If capability metrology proves unable to produce a threshold that accurately distinguishes dangerous from benign models—and that cannot be reliably bypassed through fine‑tuning, scaffolding, or quantization—the tiered‑gating architecture collapses. In that case, the only defensible path is to abandon threshold‑based gating and rely solely on downstream application regulation, compute licensing, and targeted export controls on known weaponizable outputs, as the Open Source Advocate and Civil Liberties Lawyer argue.</w:t>
      </w:r>
    </w:p>
    <w:p>
      <w:pPr>
        <w:pStyle w:val="Heading3"/>
      </w:pPr>
      <w:r>
        <w:rPr/>
        <w:t>5. Key trade‑off</w:t>
      </w:r>
    </w:p>
    <w:p>
      <w:r>
        <w:rPr/>
        <w:t>The decision hinges on trading irreversible proliferation risk against irreversible concentration and democratic injury. Gating above a threshold locks in irrevocable capability distribution; failing to gate locks in irrevocable dual‑use exposure. Neither direction can be fully undone once chosen.</w:t>
      </w:r>
    </w:p>
    <w:p>
      <w:pPr>
        <w:pStyle w:val="Heading3"/>
      </w:pPr>
      <w:r>
        <w:rPr/>
        <w:t>6. What would make this fail</w:t>
      </w:r>
    </w:p>
    <w:p>
      <w:pPr>
        <w:pStyle w:val="ListBullet"/>
      </w:pPr>
      <w:r>
        <w:rPr/>
      </w:r>
      <w:r>
        <w:rPr>
          <w:b/>
        </w:rPr>
        <w:t>Capability thresholds remain unverifiable or gameable.</w:t>
      </w:r>
      <w:r>
        <w:rPr/>
        <w:t xml:space="preserve"> If no robust, politically defensible evaluation can distinguish dangerous frontier capability from merely powerful general models, the gate becomes either a sieve (letting dangerous systems through) or an arbitrary licensing regime that chills legitimate research—exactly the </w:t>
      </w:r>
      <w:r>
        <w:rPr>
          <w:i/>
        </w:rPr>
        <w:t>Bernstein</w:t>
      </w:r>
      <w:r>
        <w:rPr/>
        <w:t xml:space="preserve"> failure mode.</w:t>
      </w:r>
    </w:p>
    <w:p>
      <w:pPr>
        <w:pStyle w:val="ListBullet"/>
      </w:pPr>
      <w:r>
        <w:rPr/>
      </w:r>
      <w:r>
        <w:rPr>
          <w:b/>
        </w:rPr>
        <w:t>International cooperation does not materialize.</w:t>
      </w:r>
      <w:r>
        <w:rPr/>
        <w:t xml:space="preserve"> Unilateral gating by the U.S. or EU would handicap allied labs while adversarial states speed ahead, turning the safety measure into a strategic own‑goal, as the Strategist warned. The whole design presumes a binding, verified accord on the scale of a nuclear non‑proliferation treaty.</w:t>
      </w:r>
    </w:p>
    <w:p>
      <w:pPr>
        <w:pStyle w:val="ListBullet"/>
      </w:pPr>
      <w:r>
        <w:rPr/>
      </w:r>
      <w:r>
        <w:rPr>
          <w:b/>
        </w:rPr>
        <w:t>The regime is captured by incumbents.</w:t>
      </w:r>
      <w:r>
        <w:rPr/>
        <w:t xml:space="preserve"> If the largest firms successfully lobby to raise thresholds, monopolize gated‑access credentials, or suppress open alternatives, the policy delivers maximum concentration with minimum safety—the exact catastrophe the Open Source Advocate fears.</w:t>
      </w:r>
    </w:p>
    <w:p>
      <w:pPr>
        <w:pStyle w:val="Heading3"/>
      </w:pPr>
      <w:r>
        <w:rPr/>
        <w:t>7. Next steps &amp; open questions</w:t>
      </w:r>
    </w:p>
    <w:p>
      <w:pPr>
        <w:pStyle w:val="ListBullet"/>
      </w:pPr>
      <w:r>
        <w:rPr/>
      </w:r>
      <w:r>
        <w:rPr>
          <w:b/>
        </w:rPr>
        <w:t>Unresolved questions:</w:t>
      </w:r>
      <w:r>
        <w:rPr/>
        <w:t xml:space="preserve"> (a) What evaluation protocols genuinely capture dual‑use capability (beyond FLOPs) in a way that is fine‑tuning‑proof? (b) What constitutes a verifiable international verification mechanism for model weights and compute—given that past dual‑use treaties have struggled to achieve high compliance? (c) Where precisely does the First Amendment/Article 10 line fall between protected expressive weights and regulable functional artifact, and what procedural safeguards meet the </w:t>
      </w:r>
      <w:r>
        <w:rPr>
          <w:i/>
        </w:rPr>
        <w:t>Bernstein</w:t>
      </w:r>
      <w:r>
        <w:rPr/>
        <w:t xml:space="preserve"> standard?</w:t>
      </w:r>
    </w:p>
    <w:p>
      <w:pPr>
        <w:pStyle w:val="ListBullet"/>
      </w:pPr>
      <w:r>
        <w:rPr/>
      </w:r>
      <w:r>
        <w:rPr>
          <w:b/>
        </w:rPr>
        <w:t>Data to gather:</w:t>
      </w:r>
      <w:r>
        <w:rPr/>
        <w:t xml:space="preserve"> (a) Empirical studies on the actual ease of fine‑tuning guardrailed open models into dangerous agents—real capability gains, not just theoretical threats. (b) Current compliance rates and enforcement viability under the U.S. AI Diffusion Rule and EU AI Act Article 55 obligations. (c) Aggregated red‑teaming results from frontier labs to see whether a stable capability threshold emerges.</w:t>
      </w:r>
    </w:p>
    <w:p>
      <w:pPr>
        <w:pStyle w:val="ListBullet"/>
      </w:pPr>
      <w:r>
        <w:rPr/>
      </w:r>
      <w:r>
        <w:rPr>
          <w:b/>
        </w:rPr>
        <w:t>Re‑check once gathered:</w:t>
      </w:r>
      <w:r>
        <w:rPr/>
        <w:t xml:space="preserve"> When NTIA or an equivalent body completes its evidence‑gathering on open‑weight risks, revisit whether the factual basis has shifted from “evidence insufficient” to “actionable.” Monitor whether any major open release empirically leads to documented, non‑hypothetical malicious proliferation.</w:t>
      </w:r>
    </w:p>
    <w:p>
      <w:pPr>
        <w:pStyle w:val="Heading3"/>
      </w:pPr>
      <w:r>
        <w:rPr/>
        <w:t>8. The strongest case for the other choice</w:t>
      </w:r>
    </w:p>
    <w:p>
      <w:r>
        <w:rPr/>
        <w:t>The option we reject is the full no‑cap, regulate‑deployment‑and‑compute position. Its strongest argument: a tiered gate does not reduce existential risk; it merely transfers that risk from the open community to a handful of corporates whose models are just as dangerous but far less visible. In a concrete scenario, imagine 2028: three U.S. firms hold the only frontier models above the threshold, and a single court order compels them to provide unrestricted API access to a national security agency that proceeds to weaponize the capability without democratic oversight. The gating regime has created the precise concentration it claimed to prevent, while shutting down the independent audit and safety research that open science, even after fine‑tuning, had supplied. The panel still rejects that path because the irreversibility of an openly released engineered pathogen outweighs—barely—the concentration harms, which can be partially addressed by mandatory access for accredited researchers and antitrust scrutiny. But if those access safeguards prove hollow, the alternative becomes the lesser evil.</w:t>
      </w:r>
    </w:p>
    <w:p>
      <w:pPr>
        <w:pStyle w:val="Heading2"/>
      </w:pPr>
      <w:r>
        <w:rPr/>
        <w:t>Sources</w:t>
      </w:r>
    </w:p>
    <w:p>
      <w:pPr>
        <w:pStyle w:val="ListNumber"/>
      </w:pPr>
      <w:r>
        <w:rPr/>
        <w:t>U.S. AI diffusion framework</w:t>
      </w:r>
      <w:r>
        <w:rPr>
          <w:i/>
        </w:rPr>
        <w:t xml:space="preserve"> (https://www.federalregister.gov/documents/2025/01/15/2025-00636/framework-for-artificial-intelligence-diffusion)</w:t>
      </w:r>
      <w:r>
        <w:rPr/>
        <w:t xml:space="preserve"> — federalregister.gov</w:t>
      </w:r>
    </w:p>
    <w:p>
      <w:pPr>
        <w:pStyle w:val="ListNumber"/>
      </w:pPr>
      <w:r>
        <w:rPr/>
        <w:t>Bletchley Declaration</w:t>
      </w:r>
      <w:r>
        <w:rPr>
          <w:i/>
        </w:rPr>
        <w:t xml:space="preserve"> (https://www.gov.uk/government/publications/ai-safety-summit-2023-the-bletchley-declaration/the-bletchley-declaration-by-countries-attending-the-ai-safety-summit-1-2-november-2023)</w:t>
      </w:r>
      <w:r>
        <w:rPr/>
        <w:t xml:space="preserve"> — gov.uk </w:t>
      </w:r>
      <w:r>
        <w:rPr>
          <w:i/>
        </w:rPr>
        <w:t>(unverified — not returned by this debate's research)</w:t>
      </w:r>
    </w:p>
    <w:p>
      <w:pPr>
        <w:pStyle w:val="ListNumber"/>
      </w:pPr>
      <w:r>
        <w:rPr/>
        <w:t>NTIA report</w:t>
      </w:r>
      <w:r>
        <w:rPr>
          <w:i/>
        </w:rPr>
        <w:t xml:space="preserve"> (https://www.ntia.gov/programs-and-initiatives/artificial-intelligence/open-model-weights-report)</w:t>
      </w:r>
      <w:r>
        <w:rPr/>
        <w:t xml:space="preserve"> — ntia.gov</w:t>
      </w:r>
    </w:p>
    <w:p>
      <w:pPr>
        <w:pStyle w:val="ListNumber"/>
      </w:pPr>
      <w:r>
        <w:rPr/>
        <w:t>EO 14110</w:t>
      </w:r>
      <w:r>
        <w:rPr>
          <w:i/>
        </w:rPr>
        <w:t xml:space="preserve"> (https://www.govinfo.gov/content/pkg/CFR-2024-title3-vol1/pdf/CFR-2024-title3-vol1-eo14110.pdf)</w:t>
      </w:r>
      <w:r>
        <w:rPr/>
        <w:t xml:space="preserve"> — govinfo.gov</w:t>
      </w:r>
    </w:p>
    <w:p>
      <w:pPr>
        <w:pStyle w:val="ListNumber"/>
      </w:pPr>
      <w:r>
        <w:rPr/>
        <w:t>EU AI Act, Article 55</w:t>
      </w:r>
      <w:r>
        <w:rPr>
          <w:i/>
        </w:rPr>
        <w:t xml:space="preserve"> (https://ai-act-service-desk.ec.europa.eu/en/ai-act/article-55)</w:t>
      </w:r>
      <w:r>
        <w:rPr/>
        <w:t xml:space="preserve"> — ai-act-service-desk.ec.europa.eu</w:t>
      </w:r>
    </w:p>
    <w:p>
      <w:pPr>
        <w:pStyle w:val="ListNumber"/>
      </w:pPr>
      <w:r>
        <w:rPr/>
        <w:t>Commission FAQ</w:t>
      </w:r>
      <w:r>
        <w:rPr>
          <w:i/>
        </w:rPr>
        <w:t xml:space="preserve"> (https://digital-strategy.ec.europa.eu/en/faqs/general-purpose-ai-models-ai-act-questions-answers)</w:t>
      </w:r>
      <w:r>
        <w:rPr/>
        <w:t xml:space="preserve"> — digital-strategy.ec.europa.eu</w:t>
      </w:r>
    </w:p>
    <w:p>
      <w:pPr>
        <w:pStyle w:val="ListNumber"/>
      </w:pPr>
      <w:r>
        <w:rPr/>
        <w:t>Bernstein v. United States</w:t>
      </w:r>
      <w:r>
        <w:rPr>
          <w:i/>
        </w:rPr>
        <w:t xml:space="preserve"> (https://casetext.com/case/bernstein-v-united-states-dept-of-justice)</w:t>
      </w:r>
      <w:r>
        <w:rPr/>
        <w:t xml:space="preserve"> — casetext.com</w:t>
      </w:r>
    </w:p>
    <w:p>
      <w:pPr>
        <w:pStyle w:val="ListNumber"/>
      </w:pPr>
      <w:r>
        <w:rPr/>
        <w:t>NTIA recommendations</w:t>
      </w:r>
      <w:r>
        <w:rPr>
          <w:i/>
        </w:rPr>
        <w:t xml:space="preserve"> (https://www.ntia.gov/programs-and-initiatives/artificial-intelligence/open-model-weights-report/policy-approaches-recommendations/recommendations)</w:t>
      </w:r>
      <w:r>
        <w:rPr/>
        <w:t xml:space="preserve"> — ntia.gov</w:t>
      </w:r>
    </w:p>
    <w:p>
      <w:pPr>
        <w:pStyle w:val="ListNumber"/>
      </w:pPr>
      <w:r>
        <w:rPr/>
        <w:t>GAO decision</w:t>
      </w:r>
      <w:r>
        <w:rPr>
          <w:i/>
        </w:rPr>
        <w:t xml:space="preserve"> (https://www.gao.gov/products/b-337935)</w:t>
      </w:r>
      <w:r>
        <w:rPr/>
        <w:t xml:space="preserve"> — gao.gov</w:t>
      </w:r>
    </w:p>
    <w:p>
      <w:pPr>
        <w:pStyle w:val="ListNumber"/>
      </w:pPr>
      <w:r>
        <w:rPr/>
        <w:t>BIS proposed rule</w:t>
      </w:r>
      <w:r>
        <w:rPr>
          <w:i/>
        </w:rPr>
        <w:t xml:space="preserve"> (https://www.govinfo.gov/content/pkg/FR-2024-09-11/html/2024-20529.htm)</w:t>
      </w:r>
      <w:r>
        <w:rPr/>
        <w:t xml:space="preserve"> — govinfo.gov</w:t>
      </w:r>
    </w:p>
    <w:p>
      <w:pPr>
        <w:pStyle w:val="ListNumber"/>
      </w:pPr>
      <w:r>
        <w:rPr/>
        <w:t>Wassenaar dual-use list</w:t>
      </w:r>
      <w:r>
        <w:rPr>
          <w:i/>
        </w:rPr>
        <w:t xml:space="preserve"> (https://www.wassenaar.org/list-of-dual-use-goods-and-technologies-munitions-list-2025/)</w:t>
      </w:r>
      <w:r>
        <w:rPr/>
        <w:t xml:space="preserve"> — wassenaar.org</w:t>
      </w:r>
    </w:p>
    <w:p>
      <w:pPr>
        <w:pStyle w:val="ListNumber"/>
      </w:pPr>
      <w:r>
        <w:rPr/>
        <w:t>RAND analysis</w:t>
      </w:r>
      <w:r>
        <w:rPr>
          <w:i/>
        </w:rPr>
        <w:t xml:space="preserve"> (https://www.rand.org/pubs/perspectives/PEA3776-1.html)</w:t>
      </w:r>
      <w:r>
        <w:rPr/>
        <w:t xml:space="preserve"> — rand.org</w:t>
      </w:r>
    </w:p>
    <w:p>
      <w:pPr>
        <w:pStyle w:val="ListNumber"/>
      </w:pPr>
      <w:r>
        <w:rPr/>
        <w:t>NTIA report</w:t>
      </w:r>
      <w:r>
        <w:rPr>
          <w:i/>
        </w:rPr>
        <w:t xml:space="preserve"> (https://www.ntia.gov/sites/default/files/publications/ntia-ai-open-model-report.pdf)</w:t>
      </w:r>
      <w:r>
        <w:rPr/>
        <w:t xml:space="preserve"> — ntia.gov</w:t>
      </w:r>
    </w:p>
    <w:p>
      <w:pPr>
        <w:pStyle w:val="ListNumber"/>
      </w:pPr>
      <w:r>
        <w:rPr/>
        <w:t>New York Times v. United States</w:t>
      </w:r>
      <w:r>
        <w:rPr>
          <w:i/>
        </w:rPr>
        <w:t xml:space="preserve"> (https://www.law.cornell.edu/supremecourt/text/403/713)</w:t>
      </w:r>
      <w:r>
        <w:rPr/>
        <w:t xml:space="preserve"> — law.cornell.edu</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