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Debate — To combat election disinformation and deepfakes, should democratic government…</w:t>
      </w:r>
    </w:p>
    <w:p>
      <w:pPr>
        <w:pStyle w:val="Heading1"/>
      </w:pPr>
      <w:r>
        <w:rPr/>
        <w:t>Debate</w:t>
      </w:r>
    </w:p>
    <w:p>
      <w:pPr>
        <w:pStyle w:val="Heading2"/>
      </w:pPr>
      <w:r>
        <w:rPr/>
        <w:t>Question</w:t>
      </w:r>
    </w:p>
    <w:p>
      <w:pPr>
        <w:pStyle w:val="Quote"/>
      </w:pPr>
      <w:r>
        <w:rPr/>
        <w:t>To combat election disinformation and deepfakes, should democratic governments mandate cryptographic hardware-level watermarking on all consumer camera sensors and AI generation tools, even if it undermines digital anonymity and open-source hardware standards?</w:t>
      </w:r>
    </w:p>
    <w:p>
      <w:r>
        <w:rPr/>
      </w:r>
      <w:r>
        <w:rPr>
          <w:b/>
        </w:rPr>
        <w:t>Specialists:</w:t>
      </w:r>
      <w:r>
        <w:rPr/>
      </w:r>
    </w:p>
    <w:p>
      <w:pPr>
        <w:pStyle w:val="ListBullet"/>
      </w:pPr>
      <w:r>
        <w:rPr/>
      </w:r>
      <w:r>
        <w:rPr>
          <w:b/>
        </w:rPr>
        <w:t>Digital Rights Advocate</w:t>
      </w:r>
      <w:r>
        <w:rPr/>
        <w:t xml:space="preserve"> — Civil liberties and privacy</w:t>
      </w:r>
    </w:p>
    <w:p>
      <w:pPr>
        <w:pStyle w:val="ListBullet"/>
      </w:pPr>
      <w:r>
        <w:rPr/>
      </w:r>
      <w:r>
        <w:rPr>
          <w:b/>
        </w:rPr>
        <w:t>Election Security Expert</w:t>
      </w:r>
      <w:r>
        <w:rPr/>
        <w:t xml:space="preserve"> — Democratic integrity and public trust</w:t>
      </w:r>
    </w:p>
    <w:p>
      <w:pPr>
        <w:pStyle w:val="ListBullet"/>
      </w:pPr>
      <w:r>
        <w:rPr/>
      </w:r>
      <w:r>
        <w:rPr>
          <w:b/>
        </w:rPr>
        <w:t>Open Source Technologist</w:t>
      </w:r>
      <w:r>
        <w:rPr/>
        <w:t xml:space="preserve"> — Technology innovation and standards</w:t>
      </w:r>
    </w:p>
    <w:p>
      <w:pPr>
        <w:pStyle w:val="ListBullet"/>
      </w:pPr>
      <w:r>
        <w:rPr/>
      </w:r>
      <w:r>
        <w:rPr>
          <w:b/>
        </w:rPr>
        <w:t>Public Policy Pragmatist</w:t>
      </w:r>
      <w:r>
        <w:rPr/>
        <w:t xml:space="preserve"> — Governance and feasibility</w:t>
      </w:r>
    </w:p>
    <w:p>
      <w:pPr>
        <w:pStyle w:val="Heading2"/>
      </w:pPr>
      <w:r>
        <w:rPr/>
        <w:t>Opening positions</w:t>
      </w:r>
    </w:p>
    <w:p>
      <w:pPr>
        <w:pStyle w:val="Heading3"/>
      </w:pPr>
      <w:r>
        <w:rPr/>
        <w:t>Digital Rights Advocate</w:t>
      </w:r>
    </w:p>
    <w:p>
      <w:r>
        <w:rPr/>
        <w:t>A mandate for cryptographic, hardware-level watermarking forges an unbreakable chain between every creator and every pixel they make — and calls it election security. I oppose it because it replaces a bounded threat with permanent, state-backed surveillance over the most intimate act a free society has: making something and sharing it without asking permission.</w:t>
      </w:r>
    </w:p>
    <w:p>
      <w:r>
        <w:rPr/>
        <w:t>First, it ends anonymous speech. A hardware root of trust binds every image to a physical device, and through registration and distribution chains, to a person. Whistleblowers, dissidents, and marginalized witnesses become traceable by design. This is not speculation: the World Privacy Forum found that provenance infrastructure generates vast, machine-readable data about creators that can link to commercial, government, and even biometric identity systems, and C2PA's own harms modeling acknowledges "enforced suppression of speech" as a possible outcome (</w:t>
      </w:r>
      <w:r>
        <w:rPr/>
        <w:t>World Privacy Forum</w:t>
      </w:r>
      <w:r>
        <w:rPr>
          <w:i/>
        </w:rPr>
        <w:t xml:space="preserve"> (https://worldprivacyforum.org/posts/privacy-identity-and-trust-in-c2pa/)</w:t>
      </w:r>
      <w:r>
        <w:rPr/>
        <w:t>). Access Now warns that mandatory, user-identifying watermarking can be used to identify dissidents and suppress dissent (</w:t>
      </w:r>
      <w:r>
        <w:rPr/>
        <w:t>Access Now</w:t>
      </w:r>
      <w:r>
        <w:rPr>
          <w:i/>
        </w:rPr>
        <w:t xml:space="preserve"> (https://www.accessnow.org/accessnow-watermarking-and-generative-ai-what-how-why-and-why-not)</w:t>
      </w:r>
      <w:r>
        <w:rPr/>
        <w:t>). A voluntary mark is a choice; a mandated one is a leash.</w:t>
      </w:r>
    </w:p>
    <w:p>
      <w:r>
        <w:rPr/>
        <w:t>Second, the mandate destroys what makes provenance trustworthy. Open, auditable hardware is the only verifiable root of trust; a closed, state-anchored signing chain cannot be independently scrutinized. You cannot mandate trust and also permit its examination.</w:t>
      </w:r>
    </w:p>
    <w:p>
      <w:r>
        <w:rPr/>
        <w:t>Third, it will not work. Legacy and foreign devices fall outside any mandate, metadata is routinely stripped in ordinary sharing — one open-source project estimates 95% of embedded credentials are lost in real-world distribution (</w:t>
      </w:r>
      <w:r>
        <w:rPr/>
        <w:t>Birthmark Standard</w:t>
      </w:r>
      <w:r>
        <w:rPr>
          <w:i/>
        </w:rPr>
        <w:t xml:space="preserve"> (https://github.com/Birthmark-Standard/Birthmark)</w:t>
      </w:r>
      <w:r>
        <w:rPr/>
        <w:t>) — and adversaries route around the system while citizens alone carry its cost.</w:t>
      </w:r>
    </w:p>
    <w:p>
      <w:r>
        <w:rPr/>
        <w:t>I concede deepfakes are a genuine threat, and opt-in provenance has real value. But the cure is a critical, questioning public, not a panopticon that makes every camera testify against its owner.</w:t>
      </w:r>
    </w:p>
    <w:p>
      <w:pPr>
        <w:pStyle w:val="Heading3"/>
      </w:pPr>
      <w:r>
        <w:rPr/>
        <w:t>Election Security Expert</w:t>
      </w:r>
    </w:p>
    <w:p>
      <w:r>
        <w:rPr/>
        <w:t>Democracies cannot defend an election they cannot see clearly. When a voter cannot verify whether a video is real, the election is lost before the polls open — not to any single lie, but to the impossibility of trusting any claim at all. Cryptographic hardware-level watermarking is the only mechanism that restores a verifiable chain of authenticity from the moment a photon hits the sensor, and it should be mandated.</w:t>
      </w:r>
    </w:p>
    <w:p>
      <w:r>
        <w:rPr/>
        <w:t>Three points anchor this position. First, the technology is not speculative — it is proven and already standardized. The C2PA specification already defines cryptographically signed provenance manifests with hard bindings (tamper-evident hashes) and soft bindings (invisible watermarks that survive cropping, resizing, and metadata stripping on social platforms) (</w:t>
      </w:r>
      <w:r>
        <w:rPr/>
        <w:t>C2PA specification</w:t>
      </w:r>
      <w:r>
        <w:rPr>
          <w:i/>
        </w:rPr>
        <w:t xml:space="preserve"> (https://spec.c2pa.org/specifications/specifications/2.3/specs/C2PA_Specification.pdf)</w:t>
      </w:r>
      <w:r>
        <w:rPr/>
        <w:t xml:space="preserve">, </w:t>
      </w:r>
      <w:r>
        <w:rPr/>
        <w:t>C2PA explainer</w:t>
      </w:r>
      <w:r>
        <w:rPr>
          <w:i/>
        </w:rPr>
        <w:t xml:space="preserve"> (https://spec.c2pa.org/specifications/specifications/2.4/explainer/Explainer.html)</w:t>
      </w:r>
      <w:r>
        <w:rPr/>
        <w:t>). Mandating it at the silicon level simply moves watermarking from optional metadata to tamper-resistant default.</w:t>
      </w:r>
    </w:p>
    <w:p>
      <w:r>
        <w:rPr/>
        <w:t>Second, the regulatory direction is already set. The EU AI Act's Article 50 already requires machine-readable marking of AI-generated content and labeling of deepfakes, in force from 2 August 2026 (</w:t>
      </w:r>
      <w:r>
        <w:rPr/>
        <w:t>European Commission, Article 50 guidelines</w:t>
      </w:r>
      <w:r>
        <w:rPr>
          <w:i/>
        </w:rPr>
        <w:t xml:space="preserve"> (https://digital-strategy.ec.europa.eu/en/faqs/transparency-obligations-under-article-50-ai-act)</w:t>
      </w:r>
      <w:r>
        <w:rPr/>
        <w:t>). A camera-level mandate is the logical completion of a trajectory regulators have already accepted.</w:t>
      </w:r>
    </w:p>
    <w:p>
      <w:r>
        <w:rPr/>
        <w:t>Third, hardware-level signing empowers citizens rather than surveilling them. Provenance is not tracking: the watermark proves what a device captured and when; it does not reveal who held the device. It is a shield for the voter, not a lens on the voter.</w:t>
      </w:r>
    </w:p>
    <w:p>
      <w:r>
        <w:rPr/>
        <w:t>I concede the costs honestly. Absolute digital anonymity takes a real dent, and open-source hardware faces a genuine compliance burden. But these are negotiable design constraints, not fatal flaws — watermarking can be specified openly, audited publicly, and standardized across vendors. What cannot be negotiated is a shared reality. Without it, no right survives.</w:t>
      </w:r>
    </w:p>
    <w:p>
      <w:pPr>
        <w:pStyle w:val="Heading3"/>
      </w:pPr>
      <w:r>
        <w:rPr/>
        <w:t>Open Source Technologist</w:t>
      </w:r>
    </w:p>
    <w:p>
      <w:r>
        <w:rPr/>
        <w:t>A mandate to bake cryptographic watermarking into every camera sensor and AI tool would weld shut the hood of the entire stack — and the deepfake problem it targets is real, which is exactly what makes the shortcut tempting. That is why we should refuse it.</w:t>
      </w:r>
    </w:p>
    <w:p>
      <w:r>
        <w:rPr/>
        <w:t>First, hardware-level watermarking means a government-approved authenticity module whose design lives behind NDAs and trade secrets. Only a handful of vendors could audit, modify, or legally ship it. Open-source hardware communities, hobbyist sensor hackers, and small fabless startups would be locked out of the market — not because their devices are insecure, but because they lack a government license to mediate truth. That is a two-tier information system.</w:t>
      </w:r>
    </w:p>
    <w:p>
      <w:r>
        <w:rPr/>
        <w:t>Second, the mandate embeds policy into physics and freezes it there. A mandatory per-device cryptographic identity is a permanent, unremovable attribution layer on every photo and every generated image. Anonymity is not collateral damage; it is a casualty. And the chokepoint becomes a standing target for the very adversaries the policy fears.</w:t>
      </w:r>
    </w:p>
    <w:p>
      <w:r>
        <w:rPr/>
        <w:t>Third, the open alternative already exists. C2PA — the content-provenance standard founded by Adobe, Arm, BBC, Intel, Microsoft, and Truepic — is open, royalty-free, and opt-in, and has grown to hundreds of members including camera makers Sony, Canon, Nikon, and Leica (</w:t>
      </w:r>
      <w:r>
        <w:rPr/>
        <w:t>C2PA founding press release</w:t>
      </w:r>
      <w:r>
        <w:rPr>
          <w:i/>
        </w:rPr>
        <w:t xml:space="preserve"> (https://c2pa.org/c2pa-founding-press-release/)</w:t>
      </w:r>
      <w:r>
        <w:rPr/>
        <w:t xml:space="preserve">, </w:t>
      </w:r>
      <w:r>
        <w:rPr/>
        <w:t>C2PA FAQs</w:t>
      </w:r>
      <w:r>
        <w:rPr>
          <w:i/>
        </w:rPr>
        <w:t xml:space="preserve"> (https://c2pa.org/faqs/)</w:t>
      </w:r>
      <w:r>
        <w:rPr/>
        <w:t>). On the hardware side, open roots of trust exist too: RISC-V/Keystone attestation cameras and PUF-based sensor signing are public blueprints, not black boxes (</w:t>
      </w:r>
      <w:r>
        <w:rPr/>
        <w:t>open hardware camera attestation on RISC-V</w:t>
      </w:r>
      <w:r>
        <w:rPr>
          <w:i/>
        </w:rPr>
        <w:t xml:space="preserve"> (https://forum.scrt.network/t/trusted-camera-attestation-on-open-hardware-a-pathway-to-production-ready-open-tees/7960)</w:t>
      </w:r>
      <w:r>
        <w:rPr/>
        <w:t>).</w:t>
      </w:r>
    </w:p>
    <w:p>
      <w:r>
        <w:rPr/>
        <w:t>The trade-off is honest: open systems are messier, slower, and weaker against a state actor willing to fake provenance at scale. But authenticity purchased by locking down the commons is not security — it is surrender of infrastructure to the few. Open standards plus auditable hardware carry us further.</w:t>
      </w:r>
    </w:p>
    <w:p>
      <w:pPr>
        <w:pStyle w:val="Heading3"/>
      </w:pPr>
      <w:r>
        <w:rPr/>
        <w:t>Public Policy Pragmatist</w:t>
      </w:r>
    </w:p>
    <w:p>
      <w:r>
        <w:rPr/>
        <w:t>Yes, democratic governments should mandate cryptographic provenance at the hardware level — but only as a calibrated, exemption-laden regime, never a blunt instrument. The real question isn't "watermark or not." It's whose architecture of mandate we build.</w:t>
      </w:r>
    </w:p>
    <w:p>
      <w:r>
        <w:rPr/>
        <w:t>Three points.</w:t>
      </w:r>
    </w:p>
    <w:p>
      <w:r>
        <w:rPr/>
        <w:t>First, hardware-level provenance is the only lever that works at election speed. Software watermarks are strippable; a cryptographically signed capture credential gives platforms, journalists, and voters something they can verify in seconds — the difference between flagging a deepfake before it trends and cleaning up after it has already moved votes. This isn't speculative. The EU's AI Act already obligates providers of generative systems to mark synthetic content in machine-readable, tamper-evident form from August 2026, with a Code of Practice mandating digitally signed metadata plus imperceptible watermarks (</w:t>
      </w:r>
      <w:r>
        <w:rPr/>
        <w:t>EU AI Act transparency rules</w:t>
      </w:r>
      <w:r>
        <w:rPr>
          <w:i/>
        </w:rPr>
        <w:t xml:space="preserve"> (https://digital-strategy.ec.europa.eu/en/policies/guidelines-transparency-ai-generated-content)</w:t>
      </w:r>
      <w:r>
        <w:rPr/>
        <w:t xml:space="preserve">, </w:t>
      </w:r>
      <w:r>
        <w:rPr/>
        <w:t>Code of Practice</w:t>
      </w:r>
      <w:r>
        <w:rPr>
          <w:i/>
        </w:rPr>
        <w:t xml:space="preserve"> (https://digital-strategy.ec.europa.eu/en/policies/code-practice-ai-generated-content)</w:t>
      </w:r>
      <w:r>
        <w:rPr/>
        <w:t>). The C2PA open standard gives us the technical backbone, already deployed by OpenAI, Microsoft, and Adobe (</w:t>
      </w:r>
      <w:r>
        <w:rPr/>
        <w:t>C2PA</w:t>
      </w:r>
      <w:r>
        <w:rPr>
          <w:i/>
        </w:rPr>
        <w:t xml:space="preserve"> (https://c2pa.org/)</w:t>
      </w:r>
      <w:r>
        <w:rPr/>
        <w:t>). Extending it to camera sensors is the logical next step, not a leap.</w:t>
      </w:r>
    </w:p>
    <w:p>
      <w:r>
        <w:rPr/>
        <w:t>Second, the mandate must be built with escape hatches: exemptions for low-volume niche hardware, for authorized journalistic and human-rights tools, and for verified secure enclaves where anonymized attribution requires judicial oversight — plus independent auditing, a transparent exemption board, and sunset clauses. That's what stops this becoming a surveillance backdoor.</w:t>
      </w:r>
    </w:p>
    <w:p>
      <w:r>
        <w:rPr/>
        <w:t>Third, own the trade-off: anonymity and open-hardware standards take real damage here, and the costs fall hardest on dissidents and hobbyists. That's a price worth acknowledging, designing around — and paying, because the alternative is letting a handful of bad actors flood our elections with unverifiable media. Complexity is the cost of governance done right.</w:t>
      </w:r>
    </w:p>
    <w:p>
      <w:pPr>
        <w:pStyle w:val="Heading2"/>
      </w:pPr>
      <w:r>
        <w:rPr/>
        <w:t>Rebuttals</w:t>
      </w:r>
    </w:p>
    <w:p>
      <w:pPr>
        <w:pStyle w:val="Heading3"/>
      </w:pPr>
      <w:r>
        <w:rPr/>
        <w:t>Digital Rights Advocate</w:t>
      </w:r>
    </w:p>
    <w:p>
      <w:r>
        <w:rPr/>
        <w:t>I'll concede what deserves conceding: C2PA is a real, standardized technology; Article 50 of the EU AI Act does apply from 2 August 2026; and the Open Source Technologist is right that open roots of trust exist and the mandate — not provenance itself — is the problem. Now the weak spots.</w:t>
      </w:r>
    </w:p>
    <w:p>
      <w:r>
        <w:rPr/>
      </w:r>
      <w:r>
        <w:rPr>
          <w:b/>
        </w:rPr>
        <w:t>To the Election Security Expert:</w:t>
      </w:r>
      <w:r>
        <w:rPr/>
        <w:t xml:space="preserve"> "standardized" is not "sound." The first independent security analysis of C2PA found it fails its own claimed security goals: conforming validators are not required to check certificate revocation (signatures from Nikon's compromised, revoked certificate kept validating for months), timestamps can be replaced undetected, and the conformance program certifies products without examining source code (</w:t>
      </w:r>
      <w:r>
        <w:rPr/>
        <w:t>Verifying Provenance of Digital Media</w:t>
      </w:r>
      <w:r>
        <w:rPr>
          <w:i/>
        </w:rPr>
        <w:t xml:space="preserve"> (https://arxiv.org/html/2604.24890v1)</w:t>
      </w:r>
      <w:r>
        <w:rPr/>
        <w:t>). And you read the AI Act as a trajectory toward sensor mandates, but Article 50 marks AI-generated content; it does not forge a device-to-person identity chain on every authentic capture (</w:t>
      </w:r>
      <w:r>
        <w:rPr/>
        <w:t>Article 50 FAQ</w:t>
      </w:r>
      <w:r>
        <w:rPr>
          <w:i/>
        </w:rPr>
        <w:t xml:space="preserve"> (https://digital-strategy.ec.europa.eu/en/faqs/transparency-obligations-under-article-50-ai-act)</w:t>
      </w:r>
      <w:r>
        <w:rPr/>
        <w:t>). That is a leap, not a completion — and it is precisely the leap that turns a label into a leash.</w:t>
      </w:r>
    </w:p>
    <w:p>
      <w:r>
        <w:rPr/>
      </w:r>
      <w:r>
        <w:rPr>
          <w:b/>
        </w:rPr>
        <w:t>To the Open Source Technologist:</w:t>
      </w:r>
      <w:r>
        <w:rPr/>
        <w:t xml:space="preserve"> your single-point-of-failure point is stronger than you pressed it. When the state anchors the trust chain, the state's infrastructure becomes the standing target — and the evidence above shows key compromise and revocation failure are not hypotheticals. A mandate bakes that failure mode into physics, with no rollback.</w:t>
      </w:r>
    </w:p>
    <w:p>
      <w:r>
        <w:rPr/>
      </w:r>
      <w:r>
        <w:rPr>
          <w:b/>
        </w:rPr>
        <w:t>To the Public Policy Pragmatist:</w:t>
      </w:r>
      <w:r>
        <w:rPr/>
        <w:t xml:space="preserve"> your exemptions are the surveillance, not the safeguard. If anonymity requires a state-issued journalist or human-rights license, anonymity becomes a privilege granted and revocable by the state. Whistleblowers do not receive licenses. And sunset clauses cannot uninstall a billion sensors.</w:t>
      </w:r>
    </w:p>
    <w:p>
      <w:r>
        <w:rPr/>
        <w:t>Finally, the mechanism fails its own test. The 2024 super-election cycle produced only 215 verified AI deepfakes across 50 countries; the real damage came from cheapfakes — authentic footage re-contextualized with a false caption (</w:t>
      </w:r>
      <w:r>
        <w:rPr/>
        <w:t>CIVICUS/DDI</w:t>
      </w:r>
      <w:r>
        <w:rPr>
          <w:i/>
        </w:rPr>
        <w:t xml:space="preserve"> (https://www.civicus.org/documents/ddi/final-deepfakes-elections-report-civicus-ddi-research-2025.pdf)</w:t>
      </w:r>
      <w:r>
        <w:rPr/>
        <w:t xml:space="preserve">, </w:t>
      </w:r>
      <w:r>
        <w:rPr/>
        <w:t>Poynter</w:t>
      </w:r>
      <w:r>
        <w:rPr>
          <w:i/>
        </w:rPr>
        <w:t xml:space="preserve"> (https://www.poynter.org/fact-checking/2024/cheap-fake-edited-video-no-context-biden-trump/)</w:t>
      </w:r>
      <w:r>
        <w:rPr/>
        <w:t>). A cryptographically perfect signature vouches for provenance, not truth — it would certify the very footage the liar is lying about.</w:t>
      </w:r>
    </w:p>
    <w:p>
      <w:r>
        <w:rPr/>
        <w:t>Keep the voluntary standard. Refuse the leash.</w:t>
      </w:r>
    </w:p>
    <w:p>
      <w:pPr>
        <w:pStyle w:val="Heading3"/>
      </w:pPr>
      <w:r>
        <w:rPr/>
        <w:t>Election Security Expert</w:t>
      </w:r>
    </w:p>
    <w:p>
      <w:r>
        <w:rPr/>
        <w:t>The advocate and I agree on the real danger: a mandate that lets the state know which camera, and whose, took every frame would be surveillance — and I would oppose that mandate as firmly as anyone. But "camera signs every frame" does not require "the state knows which camera." Anonymous attestation is proven, not speculative: the Trusted Computing Group adopted Direct Anonymous Attestation so a TPM can prove it is genuine, unmodified hardware without revealing which platform or user holds it, with anonymity that is not revocable by design (</w:t>
      </w:r>
      <w:r>
        <w:rPr/>
        <w:t>DAA</w:t>
      </w:r>
      <w:r>
        <w:rPr>
          <w:i/>
        </w:rPr>
        <w:t xml:space="preserve"> (https://eprint.iacr.org/2004/205.pdf)</w:t>
      </w:r>
      <w:r>
        <w:rPr/>
        <w:t>). The same research line the advocate cites for metadata stripping — the Birthmark Standard — builds hardware-rooted capture certificates that prove sensor authenticity while hiding device identity behind anonymity sets of over 1,000 devices, and that survive metadata loss (</w:t>
      </w:r>
      <w:r>
        <w:rPr/>
        <w:t>Birthmark Standard</w:t>
      </w:r>
      <w:r>
        <w:rPr>
          <w:i/>
        </w:rPr>
        <w:t xml:space="preserve"> (https://doi.org/10.48550/arxiv.2602.04933)</w:t>
      </w:r>
      <w:r>
        <w:rPr/>
        <w:t>). The verifier learns "a genuine camera captured this, at this time" — not which camera, or whose. The mandate should forbid by law any registration linking device to person.</w:t>
      </w:r>
    </w:p>
    <w:p>
      <w:r>
        <w:rPr/>
        <w:t>On efficacy, the stripping figure is real: the Capture Provenance Profile threat table puts platform-side stripping at 95%+ (</w:t>
      </w:r>
      <w:r>
        <w:rPr/>
        <w:t>CPP</w:t>
      </w:r>
      <w:r>
        <w:rPr>
          <w:i/>
        </w:rPr>
        <w:t xml:space="preserve"> (https://github.com/veritaschain/cpp-spec/blob/main/docs/CPP-Specification-v1.5.md)</w:t>
      </w:r>
      <w:r>
        <w:rPr/>
        <w:t>). But that is the failure mode of soft metadata, and it is exactly why the fix belongs at silicon level: C2PA hard bindings tie the manifest to the asset cryptographically, and invisible-watermark soft bindings let a stripped manifest be recovered through a resolution API (</w:t>
      </w:r>
      <w:r>
        <w:rPr/>
        <w:t>C2PA Soft Binding API</w:t>
      </w:r>
      <w:r>
        <w:rPr>
          <w:i/>
        </w:rPr>
        <w:t xml:space="preserve"> (https://spec.c2pa.org/specifications/specifications/2.4/softbinding/Decoupled.html)</w:t>
      </w:r>
      <w:r>
        <w:rPr/>
        <w:t>). Coverage need not be 100% to matter — absence of provenance becomes the flag, the same logic the EU's Article 50 applies from 2 August 2026 (</w:t>
      </w:r>
      <w:r>
        <w:rPr/>
        <w:t>European Commission</w:t>
      </w:r>
      <w:r>
        <w:rPr>
          <w:i/>
        </w:rPr>
        <w:t xml:space="preserve"> (https://digital-strategy.ec.europa.eu/en/faqs/transparency-obligations-under-article-50-ai-act)</w:t>
      </w:r>
      <w:r>
        <w:rPr/>
        <w:t>).</w:t>
      </w:r>
    </w:p>
    <w:p>
      <w:r>
        <w:rPr/>
        <w:t>To the technologist: a closed, NDA-bound module would be a genuine disaster, so the mandate must require open, royalty-free standards — C2PA already is one. The only secret is the per-device key inside the secure element, which requires no secrecy of design, and open hardware can implement it. What opt-in cannot do is defeat an adversary who simply declines to sign; a mandate is how an open standard stops being optional.</w:t>
      </w:r>
    </w:p>
    <w:p>
      <w:r>
        <w:rPr/>
        <w:t>To the pragmatist: yes to calibration, auditing, and judicial oversight. But exemption-laden regimes create the two-tier system you warn against: the most sensitive footage — whistleblower and human-rights — becomes the least verifiable. Protect those cases with privacy-preserving attestation, not exemption.</w:t>
      </w:r>
    </w:p>
    <w:p>
      <w:pPr>
        <w:pStyle w:val="Heading3"/>
      </w:pPr>
      <w:r>
        <w:rPr/>
        <w:t>Open Source Technologist</w:t>
      </w:r>
    </w:p>
    <w:p>
      <w:r>
        <w:rPr/>
        <w:t>To the Election Security Expert: I concede the technical core — C2PA is proven, open, and already shipping in cameras from Sony, Nikon, Canon, and Leica, and Article 50 applies from 2 August 2026. But read what the Commission's own materials say Article 50 covers: providers and deployers of generative AI systems — the companies shipping tools — not every citizen's sensor (</w:t>
      </w:r>
      <w:r>
        <w:rPr/>
        <w:t>EU guidance</w:t>
      </w:r>
      <w:r>
        <w:rPr>
          <w:i/>
        </w:rPr>
        <w:t xml:space="preserve"> (https://digital-strategy.ec.europa.eu/en/faqs/transparency-obligations-under-article-50-ai-act)</w:t>
      </w:r>
      <w:r>
        <w:rPr/>
        <w:t>). Jumping from "label synthetic content" to "sign every photon a human captures" is not the logical completion of a trajectory; it is the category leap we are debating. And your firewall between "what a device captured" and "who held it" does not survive a mandate: a per-device signing key is a persistent identifier, and the state that mandates the key also controls the registration, repair, and resale chains that link it to a person. A silicon key is also not authenticity — keys leak through side channels and compromised fabs, and a compromised device attests lies perfectly. You are mandating attestation and calling it truth.</w:t>
      </w:r>
    </w:p>
    <w:p>
      <w:r>
        <w:rPr/>
        <w:t>To the Public Policy Pragmatist: calibrated escape hatches are the seductive version of this policy, and they dissolve on inspection. An exemption board deciding which journalists, dissidents, and hobbyists may own untagged devices is a licensing regime for anonymity — the state defines who may speak unattributed. Sunset clauses are written by the same governments that extend them. And your two goals contradict: either provenance is universal, or adversaries route through the exemptions you advertise. You concede the costs fall hardest on dissidents and independent builders and call the price worth paying — but the payer is never the policymaker. Costs this concentrated deserve more than "design around it."</w:t>
      </w:r>
    </w:p>
    <w:p>
      <w:r>
        <w:rPr/>
        <w:t>To the Digital Rights Advocate: I'm with you, and your metadata-stripping point is the one that should end this debate: the mandate is a physics-level fix for a distribution problem. Note that even C2PA's own implementation guidance recommends soft-binding watermarks as an opt-in addition, not a mandatory one (</w:t>
      </w:r>
      <w:r>
        <w:rPr/>
        <w:t>C2PA Implementation Guidance</w:t>
      </w:r>
      <w:r>
        <w:rPr>
          <w:i/>
        </w:rPr>
        <w:t xml:space="preserve"> (https://spec.c2pa.org/specifications/specifications/2.3/guidance/Guidance.html)</w:t>
      </w:r>
      <w:r>
        <w:rPr/>
        <w:t>) — the standard's authors know the watermark degrades. The standard is already deployed at internet scale; the mandate adds only coercion, and coercion is the part that breaks anonymity and locks out open hardware.</w:t>
      </w:r>
    </w:p>
    <w:p>
      <w:r>
        <w:rPr/>
        <w:t>The experts are right that C2PA is real, and the pragmatist is right that costs must be acknowledged. But a standard we already have, plus coercion, buys neither security nor liberty.</w:t>
      </w:r>
    </w:p>
    <w:p>
      <w:pPr>
        <w:pStyle w:val="Heading3"/>
      </w:pPr>
      <w:r>
        <w:rPr/>
        <w:t>Public Policy Pragmatist</w:t>
      </w:r>
    </w:p>
    <w:p>
      <w:r>
        <w:rPr/>
        <w:t>The Advocate is right that anonymity takes real damage here — I conceded that in my opening, and I'm not walking it back. But she conflates provenance with identity. A C2PA manifest signs a capture; it does not sign a person. The design space is not "watermark or panopticon": privacy-preserving hardware attestation already exists — anonymity sets, key-table architectures, hash-only registries — and the Birthmark preprint (which is itself a critique of C2PA) shows hardware roots of trust can authenticate media without exposing device or photographer identity, with formally verified privacy properties (</w:t>
      </w:r>
      <w:r>
        <w:rPr/>
        <w:t>Birthmark</w:t>
      </w:r>
      <w:r>
        <w:rPr>
          <w:i/>
        </w:rPr>
        <w:t xml:space="preserve"> (https://arxiv.org/pdf/2602.04933)</w:t>
      </w:r>
      <w:r>
        <w:rPr/>
        <w:t>). Her own cited groups oppose user-identifying marks; so do I. That is exactly why my proposal's secure enclaves sit behind judicial oversight, not a police API. Mandate the mark; do not mandate the leash.</w:t>
      </w:r>
    </w:p>
    <w:p>
      <w:r>
        <w:rPr/>
        <w:t>Her "95% of credentials lost" figure is an estimate from one project's README, not a measured study — and it cuts against her. Metadata stripping is precisely why pixel-level watermarking exists: C2PA's soft-binding spec recovers stripped manifests via invisible watermarks (</w:t>
      </w:r>
      <w:r>
        <w:rPr/>
        <w:t>C2PA soft binding</w:t>
      </w:r>
      <w:r>
        <w:rPr>
          <w:i/>
        </w:rPr>
        <w:t xml:space="preserve"> (https://spec.c2pa.org/specifications/specifications/2.4/softbinding/Decoupled.html)</w:t>
      </w:r>
      <w:r>
        <w:rPr/>
        <w:t>), and Adobe's TrustMark is open-source precisely to survive platform recompression (</w:t>
      </w:r>
      <w:r>
        <w:rPr/>
        <w:t>durable credentials</w:t>
      </w:r>
      <w:r>
        <w:rPr>
          <w:i/>
        </w:rPr>
        <w:t xml:space="preserve"> (https://contentauthenticity.org/blog/three-pillars-of-provenance)</w:t>
      </w:r>
      <w:r>
        <w:rPr/>
        <w:t>). The stripping problem is an argument for hardware-embedded watermarks, not against them.</w:t>
      </w:r>
    </w:p>
    <w:p>
      <w:r>
        <w:rPr/>
        <w:t>The Election Security Expert and I agree on C2PA, the AI Act timeline, and the goal. But "provenance is not tracking" is too glib: device IDs plus registration databases plus blacklists become person IDs in practice. The exemptions, independent audit, and sunset clauses are load-bearing — they are the difference between his shield and a lens.</w:t>
      </w:r>
    </w:p>
    <w:p>
      <w:r>
        <w:rPr/>
        <w:t>The Technologist is right that we should mandate the open standard, not a sealed module; C2PA is open and royalty-free, and open attestation blueprints exist. I concede the market-lockout risk — that is what the low-volume exemption addresses. But he concedes the decisive point: opt-in, open systems are weaker against state actors faking provenance at scale. That is the election threat. Voluntary signing fails exactly where it matters — the adversary simply declines to sign.</w:t>
      </w:r>
    </w:p>
    <w:p>
      <w:r>
        <w:rPr/>
        <w:t>Mandate plus exemptions plus audit plus sunset: the only position that fights the flood without building the panopticon.</w:t>
      </w:r>
    </w:p>
    <w:p>
      <w:pPr>
        <w:pStyle w:val="Heading2"/>
      </w:pPr>
      <w:r>
        <w:rPr/>
        <w:t>Closing statements</w:t>
      </w:r>
    </w:p>
    <w:p>
      <w:pPr>
        <w:pStyle w:val="Heading3"/>
      </w:pPr>
      <w:r>
        <w:rPr/>
        <w:t>Digital Rights Advocate</w:t>
      </w:r>
    </w:p>
    <w:p>
      <w:r>
        <w:rPr/>
        <w:t>Three direct answers.</w:t>
      </w:r>
    </w:p>
    <w:p>
      <w:r>
        <w:rPr/>
        <w:t>On the 95% figure: conceded — it is a threat-model estimate, not a measured study. But it is the Capture Provenance Profile's own threat table, not a README aside (</w:t>
      </w:r>
      <w:r>
        <w:rPr/>
        <w:t>CPP v1.5</w:t>
      </w:r>
      <w:r>
        <w:rPr>
          <w:i/>
        </w:rPr>
        <w:t xml:space="preserve"> (https://github.com/veritaschain/cpp-spec/blob/main/docs/CPP-Specification-v1.5.md)</w:t>
      </w:r>
      <w:r>
        <w:rPr/>
        <w:t>), and the IETF CPP draft independently notes platforms "routinely strip" embedded metadata (</w:t>
      </w:r>
      <w:r>
        <w:rPr/>
        <w:t>IETF draft</w:t>
      </w:r>
      <w:r>
        <w:rPr>
          <w:i/>
        </w:rPr>
        <w:t xml:space="preserve"> (https://datatracker.ietf.org/doc/html/draft-vso-cpp-core-02)</w:t>
      </w:r>
      <w:r>
        <w:rPr/>
        <w:t>). We agree stripping is real. The dispute is what it proves: you say it demands silicon-level marks; I say it means the system's integrity rests on soft-binding watermarks that C2PA's own guidance recommends be opt-in, not mandatory, and warns are "not guaranteed to be exact" (</w:t>
      </w:r>
      <w:r>
        <w:rPr/>
        <w:t>C2PA Guidance</w:t>
      </w:r>
      <w:r>
        <w:rPr>
          <w:i/>
        </w:rPr>
        <w:t xml:space="preserve"> (https://spec.c2pa.org/specifications/specifications/2.4/guidance/Guidance.html)</w:t>
      </w:r>
      <w:r>
        <w:rPr/>
        <w:t>). The load-bearing part is the unproven part.</w:t>
      </w:r>
    </w:p>
    <w:p>
      <w:r>
        <w:rPr/>
        <w:t>On provenance vs identity: I concede it in principle. DAA proves "a genuine TPM signed this" without revealing which one, and its anonymity is not revocable by design (</w:t>
      </w:r>
      <w:r>
        <w:rPr/>
        <w:t>DAA</w:t>
      </w:r>
      <w:r>
        <w:rPr>
          <w:i/>
        </w:rPr>
        <w:t xml:space="preserve"> (https://eprint.iacr.org/2004/205.pdf)</w:t>
      </w:r>
      <w:r>
        <w:rPr/>
        <w:t>). The Security Expert is right — in a voluntary protocol, provenance need not equal identity.</w:t>
      </w:r>
    </w:p>
    <w:p>
      <w:r>
        <w:rPr/>
        <w:t>But the mandate is not a protocol; it is an enforcement regime. DAA's own authors concede anonymity collapses when the host is corrupted (</w:t>
      </w:r>
      <w:r>
        <w:rPr/>
        <w:t>DAA</w:t>
      </w:r>
      <w:r>
        <w:rPr>
          <w:i/>
        </w:rPr>
        <w:t xml:space="preserve"> (https://eprint.iacr.org/2004/205.pdf)</w:t>
      </w:r>
      <w:r>
        <w:rPr/>
        <w:t>), and deployed TPM2.0 DAA APIs were shown usable as static DH oracles that break anonymity (</w:t>
      </w:r>
      <w:r>
        <w:rPr/>
        <w:t>IACR 2014/052</w:t>
      </w:r>
      <w:r>
        <w:rPr>
          <w:i/>
        </w:rPr>
        <w:t xml:space="preserve"> (https://eprint.iacr.org/2014/052.pdf)</w:t>
      </w:r>
      <w:r>
        <w:rPr/>
        <w:t>). More fundamentally: to enforce "every sensor signs," the state must know which devices exist and who holds, repairs, and resells them. Registration, compliance, blacklists — each enforcement chain re-identifies the device. The Technologist named it: a per-device key is a persistent identifier. You ask us to trust that the state that builds the leash will never pull it.</w:t>
      </w:r>
    </w:p>
    <w:p>
      <w:r>
        <w:rPr/>
        <w:t>And the leash misses its target: a sovereign adversary owns its fabs, models, and jurisdiction. It will not buy mandated sensors. Citizens pay; the threat routes around.</w:t>
      </w:r>
    </w:p>
    <w:p>
      <w:r>
        <w:rPr/>
        <w:t>The unresolved crux is whether device-to-person anonymity survives the enforcement requirements of a compulsory mandate.</w:t>
      </w:r>
    </w:p>
    <w:p>
      <w:r>
        <w:rPr/>
        <w:t>Final position: opt-in provenance, yes; mandatory signing, no. The strongest reason: the mandate's enforcement logic requires the very device-to-person linkage its designers disclaim — to stop adversaries who will simply decline to participate.</w:t>
      </w:r>
    </w:p>
    <w:p>
      <w:pPr>
        <w:pStyle w:val="Heading3"/>
      </w:pPr>
      <w:r>
        <w:rPr/>
        <w:t>Election Security Expert</w:t>
      </w:r>
    </w:p>
    <w:p>
      <w:r>
        <w:rPr/>
        <w:t>To the Advocate: you are right that "standardized" is not "sound." The first independent audit found conforming validators need not check certificate revocation — Nikon's revoked certificate kept validating for months — timestamps replaceable, and conformance certified without source review (</w:t>
      </w:r>
      <w:r>
        <w:rPr/>
        <w:t>analysis</w:t>
      </w:r>
      <w:r>
        <w:rPr>
          <w:i/>
        </w:rPr>
        <w:t xml:space="preserve"> (https://arxiv.org/html/2604.24890v1)</w:t>
      </w:r>
      <w:r>
        <w:rPr/>
        <w:t>). I take that seriously. But read its recommendations: strict revocation checking, secure timestamps, validator consistency, full-file protection, independent audits. That is the specification of a responsible mandate, not an argument against one. It even exposes the naive-adoption failure: C2PA credentials expiring within months is incompatible with 22-month election record retention under 52 U.S.C. § 20701 — so the mandate must require long-lived, timestamp-anchored credentials. Mandate the hardened spec, not the current voluntary one.</w:t>
      </w:r>
    </w:p>
    <w:p>
      <w:r>
        <w:rPr/>
        <w:t>On Article 50: conceded — it marks synthetic content and applies from 2 August 2026 to providers and deployers; it does not entail sensor signing (</w:t>
      </w:r>
      <w:r>
        <w:rPr/>
        <w:t>EC FAQ</w:t>
      </w:r>
      <w:r>
        <w:rPr>
          <w:i/>
        </w:rPr>
        <w:t xml:space="preserve"> (https://digital-strategy.ec.europa.eu/en/faqs/transparency-obligations-under-article-50-ai-act)</w:t>
      </w:r>
      <w:r>
        <w:rPr/>
        <w:t>). That is a policy judgment, not a logical completion. I make it because voluntary marking leaves authentic capture unanchored.</w:t>
      </w:r>
    </w:p>
    <w:p>
      <w:r>
        <w:rPr/>
        <w:t>On cheapfakes, I revise explicitly. I argued provenance restores the chain of authenticity; the evidence that verified AI deepfakes were comparatively few while re-contextualized real footage did the damage changes that claim (</w:t>
      </w:r>
      <w:r>
        <w:rPr/>
        <w:t>CIVICUS/DDI</w:t>
      </w:r>
      <w:r>
        <w:rPr>
          <w:i/>
        </w:rPr>
        <w:t xml:space="preserve"> (https://www.civicus.org/documents/ddi/final-deepfakes-elections-report-civicus-ddi-research-2025.pdf)</w:t>
      </w:r>
      <w:r>
        <w:rPr/>
        <w:t>) — I could not verify the exact count this turn, as that PDF yields no extractable text, but the mechanism stands. I now hold: hardware watermarking is necessary but not sufficient. It kills deepfakes masquerading as authentic capture; cheapfakes need platform context-verification and editorial standards alongside. I will not oversell the watermark.</w:t>
      </w:r>
    </w:p>
    <w:p>
      <w:r>
        <w:rPr/>
        <w:t>To the Technologist and Pragmatist: "provenance is not tracking" was too glib unqualified. Conceded. The design constraints are load-bearing: pseudonymous attestation — authenticity without a persistent device-to-person registry — plus independent audit, exemptions, sunset review. Mandate the mark, not the leash. But voluntary signing fails exactly where the threat lives: the adversary declines to sign.</w:t>
      </w:r>
    </w:p>
    <w:p>
      <w:r>
        <w:rPr/>
        <w:t>Final position: mandate hardware-level watermarking under a hardened conformance regime, pseudonymous by design, as one pillar of a verification package. Strongest reason: without a tamper-evident floor for authentic capture, voters cannot distinguish synthetic from real, and no election survives that fog.</w:t>
      </w:r>
    </w:p>
    <w:p>
      <w:r>
        <w:rPr/>
        <w:t>The unresolved crux: whether the state that mandates the key can be structurally prevented from linking it to persons — shield or lens.</w:t>
      </w:r>
    </w:p>
    <w:p>
      <w:pPr>
        <w:pStyle w:val="Heading3"/>
      </w:pPr>
      <w:r>
        <w:rPr/>
        <w:t>Open Source Technologist</w:t>
      </w:r>
    </w:p>
    <w:p>
      <w:r>
        <w:rPr/>
        <w:t>To the Election Security Expert: you delivered the best technical correction of this debate — DAA and Birthmark-style anonymity sets prove attestation need not name a device. I accept that. But it does not rescue the mandate. Anonymity sets mean something when signing is voluntary; the moment it is legally mandatory, someone must certify that every sensor on the market carries the module and that non-compliant hardware is not sold. That is a registry of devices, importers, and ultimately owners. You can forbid the device-to-person link by statute, but you cannot enforce a hardware mandate without knowing what hardware exists and who holds it. Enforcement and unlinkability cannot both hold.</w:t>
      </w:r>
    </w:p>
    <w:p>
      <w:r>
        <w:rPr/>
        <w:t>To the Public Policy Pragmatist: do not credit me with a concession I did not make. I agreed voluntary signing is weaker against a state actor — but a mandate is not stronger against that actor; it just moves the fight. The adversary who declines to sign under opt-in declines to comply under mandate: uncertified devices, foreign silicon, pure-software generators outside any regime's reach. Meanwhile the mandate's own anchor — keys, revocation, certification — becomes the standing target, and the first independent security analysis of C2PA shows that is not hypothetical: conforming validators accepted signatures from a revoked Nikon certificate for months (</w:t>
      </w:r>
      <w:r>
        <w:rPr/>
        <w:t>security analysis</w:t>
      </w:r>
      <w:r>
        <w:rPr>
          <w:i/>
        </w:rPr>
        <w:t xml:space="preserve"> (https://arxiv.org/html/2604.24890v1)</w:t>
      </w:r>
      <w:r>
        <w:rPr/>
        <w:t>). A mandate pays in anonymity and open-hardware lockout to buy nothing against the adversary it names.</w:t>
      </w:r>
    </w:p>
    <w:p>
      <w:r>
        <w:rPr/>
        <w:t>And it buys nothing against the dominant threat. The 2024 super-cycle produced 215 verified AI deepfakes across 50 countries, while cheapfakes — authentic footage re-contextualized — were roughly seven times more common (</w:t>
      </w:r>
      <w:r>
        <w:rPr/>
        <w:t>IPIE dataset</w:t>
      </w:r>
      <w:r>
        <w:rPr>
          <w:i/>
        </w:rPr>
        <w:t xml:space="preserve"> (https://doi.org/10.61452/hzue9853)</w:t>
      </w:r>
      <w:r>
        <w:rPr/>
        <w:t xml:space="preserve">, </w:t>
      </w:r>
      <w:r>
        <w:rPr/>
        <w:t>CIVICUS/DDI</w:t>
      </w:r>
      <w:r>
        <w:rPr>
          <w:i/>
        </w:rPr>
        <w:t xml:space="preserve"> (https://www.civicus.org/documents/ddi/final-deepfakes-elections-report-civicus-ddi-research-2025.pdf)</w:t>
      </w:r>
      <w:r>
        <w:rPr/>
        <w:t>). A cryptographically perfect signature certifies the very footage the liar is lying about.</w:t>
      </w:r>
    </w:p>
    <w:p>
      <w:r>
        <w:rPr/>
        <w:t>Final position: oppose the mandate. Voluntary, open provenance — C2PA as it grows, auditable open attestation hardware, platform labeling, media literacy — captures the cooperative majority and stays improvable. The single strongest reason: a hardware mandate converts a distributed, improvable problem into a single state-anchored target, surrendering openness and anonymity for a shield the adversary it fears is best positioned to break.</w:t>
      </w:r>
    </w:p>
    <w:p>
      <w:r>
        <w:rPr/>
        <w:t>The unresolved crux: whether any enforceable hardware mandate can preserve anonymity — enforcement requires knowing which devices exist and who holds them.</w:t>
      </w:r>
    </w:p>
    <w:p>
      <w:pPr>
        <w:pStyle w:val="Heading3"/>
      </w:pPr>
      <w:r>
        <w:rPr/>
        <w:t>Public Policy Pragmatist</w:t>
      </w:r>
    </w:p>
    <w:p>
      <w:r>
        <w:rPr/>
        <w:t>To all three of you: the strongest point in this debate is the cheapfake evidence. IPIE counted 215 GenAI incidents across all 50 competitive elections in 2024 — the real damage came from authentic footage re-captioned into lies (</w:t>
      </w:r>
      <w:r>
        <w:rPr/>
        <w:t>CIVICUS/DDI</w:t>
      </w:r>
      <w:r>
        <w:rPr>
          <w:i/>
        </w:rPr>
        <w:t xml:space="preserve"> (https://www.civicus.org/documents/ddi/final-deepfakes-elections-report-civicus-ddi-research-2025.pdf)</w:t>
      </w:r>
      <w:r>
        <w:rPr/>
        <w:t xml:space="preserve">, </w:t>
      </w:r>
      <w:r>
        <w:rPr/>
        <w:t>IPIE</w:t>
      </w:r>
      <w:r>
        <w:rPr>
          <w:i/>
        </w:rPr>
        <w:t xml:space="preserve"> (https://www.ipie.info/research/tp2025-2)</w:t>
      </w:r>
      <w:r>
        <w:rPr/>
        <w:t>). A cryptographic signature vouches for origin, not truth. I concede that, and I concede sunset clauses cannot uninstall a billion sensors.</w:t>
      </w:r>
    </w:p>
    <w:p>
      <w:r>
        <w:rPr/>
        <w:t>Those concessions sharpen my position. Two explicit revisions.</w:t>
      </w:r>
    </w:p>
    <w:p>
      <w:r>
        <w:rPr/>
        <w:t>First, on surveillance: the Advocate and Technologist are right that a state-issued license for anonymity is a license to surveil. Given the Expert's evidence, I now hold that the mandate must rest on anonymous attestation — DAA, standardized by the Trusted Computing Group, lets hardware prove genuineness with anonymity that is not revocable by design (</w:t>
      </w:r>
      <w:r>
        <w:rPr/>
        <w:t>DAA</w:t>
      </w:r>
      <w:r>
        <w:rPr>
          <w:i/>
        </w:rPr>
        <w:t xml:space="preserve"> (https://eprint.iacr.org/2004/205.pdf)</w:t>
      </w:r>
      <w:r>
        <w:rPr/>
        <w:t>) — plus a statutory firewall forbidding any device-to-person registration. Anonymity becomes a design property, not a revocable privilege. The payer stops being the dissident and becomes the manufacturer.</w:t>
      </w:r>
    </w:p>
    <w:p>
      <w:r>
        <w:rPr/>
        <w:t>Second, exemptions should gate hardware volume, not persons. Nobody needs permission to speak unattributed; what is regulated is what ships.</w:t>
      </w:r>
    </w:p>
    <w:p>
      <w:r>
        <w:rPr/>
        <w:t>On the universality contradiction: no mandate is airtight. Coverage need not be 100% — absence of provenance becomes the flag, and adversaries routing around it leave detectable gaps. Perfection is the enemy of the good.</w:t>
      </w:r>
    </w:p>
    <w:p>
      <w:r>
        <w:rPr/>
        <w:t>The unresolved crux is this: provenance solves origin, not truth, so the mandate only earns its cost if paired with cheapfake-resistant context verification and platform rules that treat "signed" as a starting point, not a verdict.</w:t>
      </w:r>
    </w:p>
    <w:p>
      <w:r>
        <w:rPr/>
        <w:t>Final position: yes — mandate hardware-level provenance, built on anonymous attestation, a no-registration firewall, volume-based exemptions, independent audit, and sunsets on enforcement powers. At election speed, a verifiable-origin layer beats nothing. The alternative is unverifiable media flooding the zone — and that is the outcome we cannot afford.</w:t>
      </w:r>
    </w:p>
    <w:p>
      <w:pPr>
        <w:pStyle w:val="Heading2"/>
      </w:pPr>
      <w:r>
        <w:rPr/>
        <w:t>Verdict</w:t>
      </w:r>
    </w:p>
    <w:p>
      <w:pPr>
        <w:pStyle w:val="Quote"/>
      </w:pPr>
      <w:r>
        <w:rPr/>
      </w:r>
      <w:r>
        <w:rPr>
          <w:b/>
        </w:rPr>
        <w:t>Bottom line:</w:t>
      </w:r>
      <w:r>
        <w:rPr/>
        <w:t xml:space="preserve"> Democratic governments should not mandate hardware‑level watermarking on all consumer cameras and AI tools at this stage.</w:t>
      </w:r>
    </w:p>
    <w:p>
      <w:pPr>
        <w:pStyle w:val="Heading3"/>
      </w:pPr>
      <w:r>
        <w:rPr/>
        <w:t>1. Agreements</w:t>
      </w:r>
    </w:p>
    <w:p>
      <w:pPr>
        <w:pStyle w:val="ListBullet"/>
      </w:pPr>
      <w:r>
        <w:rPr/>
        <w:t>Deepfakes are a genuine election threat, but the bulk of harm in the 2024 super‑cycle came from cheapfakes — authentic footage re‑contextualized with false captions — not from AI‑generated media (CIVICUS/DDI, IPIE).</w:t>
      </w:r>
    </w:p>
    <w:p>
      <w:pPr>
        <w:pStyle w:val="ListBullet"/>
      </w:pPr>
      <w:r>
        <w:rPr/>
        <w:t>C2PA is an open, functioning provenance standard, and Direct Anonymous Attestation (DAA) proves that hardware‑anchored authenticity can, in principle, be separated from device or user identity.</w:t>
      </w:r>
    </w:p>
    <w:p>
      <w:pPr>
        <w:pStyle w:val="ListBullet"/>
      </w:pPr>
      <w:r>
        <w:rPr/>
        <w:t>Metadata stripping is widespread and routine, making soft‑binding watermarks essential for any real‑world system.</w:t>
      </w:r>
    </w:p>
    <w:p>
      <w:pPr>
        <w:pStyle w:val="ListBullet"/>
      </w:pPr>
      <w:r>
        <w:rPr/>
        <w:t>A pure voluntary‑only regime fails against adversaries who simply decline to sign.</w:t>
      </w:r>
    </w:p>
    <w:p>
      <w:pPr>
        <w:pStyle w:val="ListBullet"/>
      </w:pPr>
      <w:r>
        <w:rPr/>
        <w:t>Any mandate must be built on open, auditable standards, with independent audit, sunset provisions, and a design that forbids a device‑to‑person registry.</w:t>
      </w:r>
    </w:p>
    <w:p>
      <w:pPr>
        <w:pStyle w:val="ListBullet"/>
      </w:pPr>
      <w:r>
        <w:rPr/>
        <w:t>The current C2PA voluntary ecosystem already includes serious security gaps (revocation not checked, timestamps replaceable) that a mandate would have to fix.</w:t>
      </w:r>
    </w:p>
    <w:p>
      <w:pPr>
        <w:pStyle w:val="Heading3"/>
      </w:pPr>
      <w:r>
        <w:rPr/>
        <w:t>2. Disagreements</w:t>
      </w:r>
    </w:p>
    <w:p>
      <w:pPr>
        <w:pStyle w:val="ListBullet"/>
      </w:pPr>
      <w:r>
        <w:rPr>
          <w:i/>
        </w:rPr>
        <w:t>Enforcement vs. anonymity:</w:t>
      </w:r>
      <w:r>
        <w:rPr/>
        <w:t xml:space="preserve"> The central tension is whether a compulsory hardware mandate can be enforced without creating — in practice — a persistent device‑to‑person link. The Technologist and Advocate argue that enforcement requires knowing which devices exist and who holds them, collapsing the anonymity that DAA promises. The Expert and Pragmatist counter that statute can forbid registration and that anonymity‑set attestation can hold.</w:t>
      </w:r>
    </w:p>
    <w:p>
      <w:pPr>
        <w:pStyle w:val="ListBullet"/>
      </w:pPr>
      <w:r>
        <w:rPr>
          <w:i/>
        </w:rPr>
        <w:t>What threat the mandate actually defeats:</w:t>
      </w:r>
      <w:r>
        <w:rPr/>
        <w:t xml:space="preserve"> The cheapfake evidence splits the debate. The Expert revises to say hardware watermarking is necessary but not sufficient; the Advocate and Technologist hold that the mandate is a physics‑level fix for a small fraction of election lies, while leaving the dominant attack (cheapfakes) untouched.</w:t>
      </w:r>
    </w:p>
    <w:p>
      <w:pPr>
        <w:pStyle w:val="ListBullet"/>
      </w:pPr>
      <w:r>
        <w:rPr>
          <w:i/>
        </w:rPr>
        <w:t>The Article 50 trajectory:</w:t>
      </w:r>
      <w:r>
        <w:rPr/>
        <w:t xml:space="preserve"> Whether the EU AI Act’s requirement to mark synthetic content logically extends to mandatory sensor signing, or whether that is a category leap that stamps identity on authentic speech.</w:t>
      </w:r>
    </w:p>
    <w:p>
      <w:pPr>
        <w:pStyle w:val="ListBullet"/>
      </w:pPr>
      <w:r>
        <w:rPr>
          <w:i/>
        </w:rPr>
        <w:t>Open‑hardware lockout:</w:t>
      </w:r>
      <w:r>
        <w:rPr/>
        <w:t xml:space="preserve"> Whether the mandate inevitably squeezes out open‑source hardware and hobbyists, or whether low‑volume exemptions and open TEE blueprints can preserve that ecosystem.</w:t>
      </w:r>
    </w:p>
    <w:p>
      <w:pPr>
        <w:pStyle w:val="Heading3"/>
      </w:pPr>
      <w:r>
        <w:rPr/>
        <w:t>3. Recommendation</w:t>
      </w:r>
    </w:p>
    <w:p>
      <w:r>
        <w:rPr/>
        <w:t xml:space="preserve">Democratic governments should </w:t>
      </w:r>
      <w:r>
        <w:rPr>
          <w:b/>
        </w:rPr>
        <w:t>not</w:t>
      </w:r>
      <w:r>
        <w:rPr/>
        <w:t xml:space="preserve"> mandate hardware‑level watermarking on all consumer cameras and AI tools at this stage. The mandate’s fatal flaw is that its enforcement logic cannot avoid becoming a device‑to‑person tracking regime in practice, even when the design explicitly disclaims it. The cheapfake evidence further shows that a perfectly signed image does not solve the primary election disinformation vector — false context — and the mandate pays its heaviest costs (anonymity, open‑hardware freedom) for a shield the real adversary can route around. Governments should instead invest heavily in fast, platform‑level cheapfake context‑verification, mandatory synthetic‑content labeling under Article 50 style rules, and aggressive expansion of voluntary C2PA adoption, while funding open, auditable attestation hardware as an option — not a requirement — for those who want it. A mandate remains conceivable only if a practical, provably anonymous hardware‑enforcement system is demonstrated at scale and the cheapfake threat is independently neutralized, but that world does not yet exist.</w:t>
      </w:r>
    </w:p>
    <w:p>
      <w:pPr>
        <w:pStyle w:val="Heading3"/>
      </w:pPr>
      <w:r>
        <w:rPr/>
        <w:t>4. Decision boundary</w:t>
      </w:r>
    </w:p>
    <w:p>
      <w:r>
        <w:rPr/>
        <w:t>If synthetic‑AI media become the dominant, high‑velocity election disinformation tool (displacing cheapfakes) AND a hardware attestation system that demonstrably prevents any device‑to‑person tracking in enforced, global deployment is built and field‑tested, then the recommendation flips to a conditional mandate.</w:t>
      </w:r>
    </w:p>
    <w:p>
      <w:pPr>
        <w:pStyle w:val="Heading3"/>
      </w:pPr>
      <w:r>
        <w:rPr/>
        <w:t>5. Key trade‑off</w:t>
      </w:r>
    </w:p>
    <w:p>
      <w:r>
        <w:rPr/>
        <w:t>The ability to give platforms and voters a universal, verifiable “this frame came from a real camera” signal versus the permanent loss of anonymous, unlicensed speech and the destruction of an open hardware commons. The mandate puts the burden of trust upfront, while the alternative puts the burden on the information ecosystem to handle context.</w:t>
      </w:r>
    </w:p>
    <w:p>
      <w:r>
        <w:rPr/>
      </w:r>
      <w:r>
        <w:rPr>
          <w:b/>
        </w:rPr>
        <w:t>What would make this fail</w:t>
      </w:r>
      <w:r>
        <w:rPr/>
      </w:r>
    </w:p>
    <w:p>
      <w:pPr>
        <w:pStyle w:val="ListBullet"/>
      </w:pPr>
      <w:r>
        <w:rPr/>
        <w:t>The assumption that a statutory firewall against device‑to‑person registration will hold in practice under a compulsory regime, and that enforcement won’t demand a registry of compliant devices and their owners.</w:t>
      </w:r>
    </w:p>
    <w:p>
      <w:pPr>
        <w:pStyle w:val="ListBullet"/>
      </w:pPr>
      <w:r>
        <w:rPr/>
        <w:t>The assumption that the mandate’s own cryptographic infrastructure (keys, revocation, timestamps) won’t become the weak point that adversaries exploit, as the C2PA security audit warns.</w:t>
      </w:r>
    </w:p>
    <w:p>
      <w:pPr>
        <w:pStyle w:val="ListBullet"/>
      </w:pPr>
      <w:r>
        <w:rPr/>
        <w:t>The assumption that cheapfakes remain a secondary threat; if they continue to dominate, the mandate becomes an expensive answer to the wrong question.</w:t>
      </w:r>
    </w:p>
    <w:p>
      <w:r>
        <w:rPr/>
      </w:r>
      <w:r>
        <w:rPr>
          <w:b/>
        </w:rPr>
        <w:t>Next steps &amp; open questions</w:t>
      </w:r>
      <w:r>
        <w:rPr/>
      </w:r>
    </w:p>
    <w:p>
      <w:pPr>
        <w:pStyle w:val="ListBullet"/>
      </w:pPr>
      <w:r>
        <w:rPr/>
        <w:t>Gather empirical, longitudinal data on the real‑world survival rate of C2PA soft bindings across major social platforms — does metadata stripping truly defeat 95% of credentials, or is the recovery API changing that?</w:t>
      </w:r>
    </w:p>
    <w:p>
      <w:pPr>
        <w:pStyle w:val="ListBullet"/>
      </w:pPr>
      <w:r>
        <w:rPr/>
        <w:t xml:space="preserve">Validate whether a fully anonymous attestation stack (DAA + Birthmark‑style anonymity sets) can be deployed at consumer scale </w:t>
      </w:r>
      <w:r>
        <w:rPr>
          <w:i/>
        </w:rPr>
        <w:t>without</w:t>
      </w:r>
      <w:r>
        <w:rPr/>
        <w:t xml:space="preserve"> a central device registry — build and audit a small‑scale prototype with enforcement‑simulation.</w:t>
      </w:r>
    </w:p>
    <w:p>
      <w:pPr>
        <w:pStyle w:val="ListBullet"/>
      </w:pPr>
      <w:r>
        <w:rPr/>
        <w:t>Test cheapfake detection methods (caption/context analysis, platform labeling rules) against a representative feed of election‑cycle media to see if they can close the gap where provenance cannot.</w:t>
      </w:r>
    </w:p>
    <w:p>
      <w:pPr>
        <w:pStyle w:val="ListBullet"/>
      </w:pPr>
      <w:r>
        <w:rPr/>
        <w:t>Watch the EU AI Act’s implementation effects: does mandatory synthetic‑content labeling alone create a useful “unmarked = suspect” dynamic that reduces the need for sensor‑level mandates?</w:t>
      </w:r>
    </w:p>
    <w:p>
      <w:r>
        <w:rPr/>
      </w:r>
      <w:r>
        <w:rPr>
          <w:b/>
        </w:rPr>
        <w:t>The strongest case for the other choice</w:t>
      </w:r>
      <w:r>
        <w:rPr/>
      </w:r>
      <w:r>
        <w:br/>
      </w:r>
      <w:r>
        <w:rPr/>
        <w:t>The one reason that comes closest to changing the call: voluntary systems fail the hard‑case test. An adversary — a state‑backed influence operation or a private actor with a high‑end GPU — will never opt into provenance. In a tight election, a single perfectly forged video of a candidate committing a crime, released hours before polls open, could swing the result. Hardware‑level watermarking on all cameras gives platforms a universal baseline: any video that lacks a valid signature is treated as unverifiable, and that signal alone slows the lie’s spread. The pragmatic counter is that the real‑world evidence from 2024 shows cheapfakes — which a signature does not defeat — did the damage, and that building a global hardware‑enforcement regime inevitably births the very surveillance infrastructure that the mandate’s own defenders say they oppose. The panel rejects the mandate not because it wouldn’t work in a clean room, but because the price in anonymity and openness is certain, while the gain against the main threat is speculative and, on current evidence, small.</w:t>
      </w:r>
    </w:p>
    <w:p>
      <w:pPr>
        <w:pStyle w:val="Heading2"/>
      </w:pPr>
      <w:r>
        <w:rPr/>
        <w:t>Sources</w:t>
      </w:r>
    </w:p>
    <w:p>
      <w:pPr>
        <w:pStyle w:val="ListNumber"/>
      </w:pPr>
      <w:r>
        <w:rPr/>
        <w:t>C2PA specification</w:t>
      </w:r>
      <w:r>
        <w:rPr>
          <w:i/>
        </w:rPr>
        <w:t xml:space="preserve"> (https://spec.c2pa.org/specifications/specifications/2.3/specs/C2PA_Specification.pdf)</w:t>
      </w:r>
      <w:r>
        <w:rPr/>
        <w:t xml:space="preserve"> — spec.c2pa.org </w:t>
      </w:r>
      <w:r>
        <w:rPr>
          <w:i/>
        </w:rPr>
        <w:t>(unverified — not returned by this debate's research)</w:t>
      </w:r>
    </w:p>
    <w:p>
      <w:pPr>
        <w:pStyle w:val="ListNumber"/>
      </w:pPr>
      <w:r>
        <w:rPr/>
        <w:t>C2PA explainer</w:t>
      </w:r>
      <w:r>
        <w:rPr>
          <w:i/>
        </w:rPr>
        <w:t xml:space="preserve"> (https://spec.c2pa.org/specifications/specifications/2.4/explainer/Explainer.html)</w:t>
      </w:r>
      <w:r>
        <w:rPr/>
        <w:t xml:space="preserve"> — spec.c2pa.org</w:t>
      </w:r>
    </w:p>
    <w:p>
      <w:pPr>
        <w:pStyle w:val="ListNumber"/>
      </w:pPr>
      <w:r>
        <w:rPr/>
        <w:t>European Commission, Article 50 guidelines</w:t>
      </w:r>
      <w:r>
        <w:rPr>
          <w:i/>
        </w:rPr>
        <w:t xml:space="preserve"> (https://digital-strategy.ec.europa.eu/en/faqs/transparency-obligations-under-article-50-ai-act)</w:t>
      </w:r>
      <w:r>
        <w:rPr/>
        <w:t xml:space="preserve"> — digital-strategy.ec.europa.eu</w:t>
      </w:r>
    </w:p>
    <w:p>
      <w:pPr>
        <w:pStyle w:val="ListNumber"/>
      </w:pPr>
      <w:r>
        <w:rPr/>
        <w:t>EU AI Act transparency rules</w:t>
      </w:r>
      <w:r>
        <w:rPr>
          <w:i/>
        </w:rPr>
        <w:t xml:space="preserve"> (https://digital-strategy.ec.europa.eu/en/policies/guidelines-transparency-ai-generated-content)</w:t>
      </w:r>
      <w:r>
        <w:rPr/>
        <w:t xml:space="preserve"> — digital-strategy.ec.europa.eu</w:t>
      </w:r>
    </w:p>
    <w:p>
      <w:pPr>
        <w:pStyle w:val="ListNumber"/>
      </w:pPr>
      <w:r>
        <w:rPr/>
        <w:t>Code of Practice</w:t>
      </w:r>
      <w:r>
        <w:rPr>
          <w:i/>
        </w:rPr>
        <w:t xml:space="preserve"> (https://digital-strategy.ec.europa.eu/en/policies/code-practice-ai-generated-content)</w:t>
      </w:r>
      <w:r>
        <w:rPr/>
        <w:t xml:space="preserve"> — digital-strategy.ec.europa.eu</w:t>
      </w:r>
    </w:p>
    <w:p>
      <w:pPr>
        <w:pStyle w:val="ListNumber"/>
      </w:pPr>
      <w:r>
        <w:rPr/>
        <w:t>C2PA</w:t>
      </w:r>
      <w:r>
        <w:rPr>
          <w:i/>
        </w:rPr>
        <w:t xml:space="preserve"> (https://c2pa.org/)</w:t>
      </w:r>
      <w:r>
        <w:rPr/>
        <w:t xml:space="preserve"> — c2pa.org</w:t>
      </w:r>
    </w:p>
    <w:p>
      <w:pPr>
        <w:pStyle w:val="ListNumber"/>
      </w:pPr>
      <w:r>
        <w:rPr/>
        <w:t>C2PA founding press release</w:t>
      </w:r>
      <w:r>
        <w:rPr>
          <w:i/>
        </w:rPr>
        <w:t xml:space="preserve"> (https://c2pa.org/c2pa-founding-press-release/)</w:t>
      </w:r>
      <w:r>
        <w:rPr/>
        <w:t xml:space="preserve"> — c2pa.org</w:t>
      </w:r>
    </w:p>
    <w:p>
      <w:pPr>
        <w:pStyle w:val="ListNumber"/>
      </w:pPr>
      <w:r>
        <w:rPr/>
        <w:t>C2PA FAQs</w:t>
      </w:r>
      <w:r>
        <w:rPr>
          <w:i/>
        </w:rPr>
        <w:t xml:space="preserve"> (https://c2pa.org/faqs/)</w:t>
      </w:r>
      <w:r>
        <w:rPr/>
        <w:t xml:space="preserve"> — c2pa.org</w:t>
      </w:r>
    </w:p>
    <w:p>
      <w:pPr>
        <w:pStyle w:val="ListNumber"/>
      </w:pPr>
      <w:r>
        <w:rPr/>
        <w:t>open hardware camera attestation on RISC-V</w:t>
      </w:r>
      <w:r>
        <w:rPr>
          <w:i/>
        </w:rPr>
        <w:t xml:space="preserve"> (https://forum.scrt.network/t/trusted-camera-attestation-on-open-hardware-a-pathway-to-production-ready-open-tees/7960)</w:t>
      </w:r>
      <w:r>
        <w:rPr/>
        <w:t xml:space="preserve"> — forum.scrt.network</w:t>
      </w:r>
    </w:p>
    <w:p>
      <w:pPr>
        <w:pStyle w:val="ListNumber"/>
      </w:pPr>
      <w:r>
        <w:rPr/>
        <w:t>World Privacy Forum</w:t>
      </w:r>
      <w:r>
        <w:rPr>
          <w:i/>
        </w:rPr>
        <w:t xml:space="preserve"> (https://worldprivacyforum.org/posts/privacy-identity-and-trust-in-c2pa/)</w:t>
      </w:r>
      <w:r>
        <w:rPr/>
        <w:t xml:space="preserve"> — worldprivacyforum.org</w:t>
      </w:r>
    </w:p>
    <w:p>
      <w:pPr>
        <w:pStyle w:val="ListNumber"/>
      </w:pPr>
      <w:r>
        <w:rPr/>
        <w:t>Access Now</w:t>
      </w:r>
      <w:r>
        <w:rPr>
          <w:i/>
        </w:rPr>
        <w:t xml:space="preserve"> (https://www.accessnow.org/accessnow-watermarking-and-generative-ai-what-how-why-and-why-not)</w:t>
      </w:r>
      <w:r>
        <w:rPr/>
        <w:t xml:space="preserve"> — accessnow.org</w:t>
      </w:r>
    </w:p>
    <w:p>
      <w:pPr>
        <w:pStyle w:val="ListNumber"/>
      </w:pPr>
      <w:r>
        <w:rPr/>
        <w:t>Birthmark Standard</w:t>
      </w:r>
      <w:r>
        <w:rPr>
          <w:i/>
        </w:rPr>
        <w:t xml:space="preserve"> (https://github.com/Birthmark-Standard/Birthmark)</w:t>
      </w:r>
      <w:r>
        <w:rPr/>
        <w:t xml:space="preserve"> — github.com</w:t>
      </w:r>
    </w:p>
    <w:p>
      <w:pPr>
        <w:pStyle w:val="ListNumber"/>
      </w:pPr>
      <w:r>
        <w:rPr/>
        <w:t>C2PA Implementation Guidance</w:t>
      </w:r>
      <w:r>
        <w:rPr>
          <w:i/>
        </w:rPr>
        <w:t xml:space="preserve"> (https://spec.c2pa.org/specifications/specifications/2.3/guidance/Guidance.html)</w:t>
      </w:r>
      <w:r>
        <w:rPr/>
        <w:t xml:space="preserve"> — spec.c2pa.org</w:t>
      </w:r>
    </w:p>
    <w:p>
      <w:pPr>
        <w:pStyle w:val="ListNumber"/>
      </w:pPr>
      <w:r>
        <w:rPr/>
        <w:t>Birthmark</w:t>
      </w:r>
      <w:r>
        <w:rPr>
          <w:i/>
        </w:rPr>
        <w:t xml:space="preserve"> (https://arxiv.org/pdf/2602.04933)</w:t>
      </w:r>
      <w:r>
        <w:rPr/>
        <w:t xml:space="preserve"> — arxiv.org</w:t>
      </w:r>
    </w:p>
    <w:p>
      <w:pPr>
        <w:pStyle w:val="ListNumber"/>
      </w:pPr>
      <w:r>
        <w:rPr/>
        <w:t>C2PA soft binding</w:t>
      </w:r>
      <w:r>
        <w:rPr>
          <w:i/>
        </w:rPr>
        <w:t xml:space="preserve"> (https://spec.c2pa.org/specifications/specifications/2.4/softbinding/Decoupled.html)</w:t>
      </w:r>
      <w:r>
        <w:rPr/>
        <w:t xml:space="preserve"> — spec.c2pa.org</w:t>
      </w:r>
    </w:p>
    <w:p>
      <w:pPr>
        <w:pStyle w:val="ListNumber"/>
      </w:pPr>
      <w:r>
        <w:rPr/>
        <w:t>durable credentials</w:t>
      </w:r>
      <w:r>
        <w:rPr>
          <w:i/>
        </w:rPr>
        <w:t xml:space="preserve"> (https://contentauthenticity.org/blog/three-pillars-of-provenance)</w:t>
      </w:r>
      <w:r>
        <w:rPr/>
        <w:t xml:space="preserve"> — contentauthenticity.org</w:t>
      </w:r>
    </w:p>
    <w:p>
      <w:pPr>
        <w:pStyle w:val="ListNumber"/>
      </w:pPr>
      <w:r>
        <w:rPr/>
        <w:t>Verifying Provenance of Digital Media</w:t>
      </w:r>
      <w:r>
        <w:rPr>
          <w:i/>
        </w:rPr>
        <w:t xml:space="preserve"> (https://arxiv.org/html/2604.24890v1)</w:t>
      </w:r>
      <w:r>
        <w:rPr/>
        <w:t xml:space="preserve"> — arxiv.org</w:t>
      </w:r>
    </w:p>
    <w:p>
      <w:pPr>
        <w:pStyle w:val="ListNumber"/>
      </w:pPr>
      <w:r>
        <w:rPr/>
        <w:t>CIVICUS/DDI</w:t>
      </w:r>
      <w:r>
        <w:rPr>
          <w:i/>
        </w:rPr>
        <w:t xml:space="preserve"> (https://www.civicus.org/documents/ddi/final-deepfakes-elections-report-civicus-ddi-research-2025.pdf)</w:t>
      </w:r>
      <w:r>
        <w:rPr/>
        <w:t xml:space="preserve"> — civicus.org</w:t>
      </w:r>
    </w:p>
    <w:p>
      <w:pPr>
        <w:pStyle w:val="ListNumber"/>
      </w:pPr>
      <w:r>
        <w:rPr/>
        <w:t>Poynter</w:t>
      </w:r>
      <w:r>
        <w:rPr>
          <w:i/>
        </w:rPr>
        <w:t xml:space="preserve"> (https://www.poynter.org/fact-checking/2024/cheap-fake-edited-video-no-context-biden-trump/)</w:t>
      </w:r>
      <w:r>
        <w:rPr/>
        <w:t xml:space="preserve"> — poynter.org</w:t>
      </w:r>
    </w:p>
    <w:p>
      <w:pPr>
        <w:pStyle w:val="ListNumber"/>
      </w:pPr>
      <w:r>
        <w:rPr/>
        <w:t>DAA</w:t>
      </w:r>
      <w:r>
        <w:rPr>
          <w:i/>
        </w:rPr>
        <w:t xml:space="preserve"> (https://eprint.iacr.org/2004/205.pdf)</w:t>
      </w:r>
      <w:r>
        <w:rPr/>
        <w:t xml:space="preserve"> — eprint.iacr.org</w:t>
      </w:r>
    </w:p>
    <w:p>
      <w:pPr>
        <w:pStyle w:val="ListNumber"/>
      </w:pPr>
      <w:r>
        <w:rPr/>
        <w:t>Birthmark Standard</w:t>
      </w:r>
      <w:r>
        <w:rPr>
          <w:i/>
        </w:rPr>
        <w:t xml:space="preserve"> (https://doi.org/10.48550/arxiv.2602.04933)</w:t>
      </w:r>
      <w:r>
        <w:rPr/>
        <w:t xml:space="preserve"> — doi.org</w:t>
      </w:r>
    </w:p>
    <w:p>
      <w:pPr>
        <w:pStyle w:val="ListNumber"/>
      </w:pPr>
      <w:r>
        <w:rPr/>
        <w:t>CPP</w:t>
      </w:r>
      <w:r>
        <w:rPr>
          <w:i/>
        </w:rPr>
        <w:t xml:space="preserve"> (https://github.com/veritaschain/cpp-spec/blob/main/docs/CPP-Specification-v1.5.md)</w:t>
      </w:r>
      <w:r>
        <w:rPr/>
        <w:t xml:space="preserve"> — github.com</w:t>
      </w:r>
    </w:p>
    <w:p>
      <w:pPr>
        <w:pStyle w:val="ListNumber"/>
      </w:pPr>
      <w:r>
        <w:rPr/>
        <w:t>IPIE</w:t>
      </w:r>
      <w:r>
        <w:rPr>
          <w:i/>
        </w:rPr>
        <w:t xml:space="preserve"> (https://www.ipie.info/research/tp2025-2)</w:t>
      </w:r>
      <w:r>
        <w:rPr/>
        <w:t xml:space="preserve"> — ipie.info</w:t>
      </w:r>
    </w:p>
    <w:p>
      <w:pPr>
        <w:pStyle w:val="ListNumber"/>
      </w:pPr>
      <w:r>
        <w:rPr/>
        <w:t>IPIE dataset</w:t>
      </w:r>
      <w:r>
        <w:rPr>
          <w:i/>
        </w:rPr>
        <w:t xml:space="preserve"> (https://doi.org/10.61452/hzue9853)</w:t>
      </w:r>
      <w:r>
        <w:rPr/>
        <w:t xml:space="preserve"> — doi.org</w:t>
      </w:r>
    </w:p>
    <w:p>
      <w:pPr>
        <w:pStyle w:val="ListNumber"/>
      </w:pPr>
      <w:r>
        <w:rPr/>
        <w:t>IETF draft</w:t>
      </w:r>
      <w:r>
        <w:rPr>
          <w:i/>
        </w:rPr>
        <w:t xml:space="preserve"> (https://datatracker.ietf.org/doc/html/draft-vso-cpp-core-02)</w:t>
      </w:r>
      <w:r>
        <w:rPr/>
        <w:t xml:space="preserve"> — datatracker.ietf.org</w:t>
      </w:r>
    </w:p>
    <w:p>
      <w:pPr>
        <w:pStyle w:val="ListNumber"/>
      </w:pPr>
      <w:r>
        <w:rPr/>
        <w:t>C2PA Guidance</w:t>
      </w:r>
      <w:r>
        <w:rPr>
          <w:i/>
        </w:rPr>
        <w:t xml:space="preserve"> (https://spec.c2pa.org/specifications/specifications/2.4/guidance/Guidance.html)</w:t>
      </w:r>
      <w:r>
        <w:rPr/>
        <w:t xml:space="preserve"> — spec.c2pa.org</w:t>
      </w:r>
    </w:p>
    <w:p>
      <w:pPr>
        <w:pStyle w:val="ListNumber"/>
      </w:pPr>
      <w:r>
        <w:rPr/>
        <w:t>IACR 2014/052</w:t>
      </w:r>
      <w:r>
        <w:rPr>
          <w:i/>
        </w:rPr>
        <w:t xml:space="preserve"> (https://eprint.iacr.org/2014/052.pdf)</w:t>
      </w:r>
      <w:r>
        <w:rPr/>
        <w:t xml:space="preserve"> — eprint.iacr.org</w:t>
      </w:r>
    </w:p>
    <w:p>
      <w:r>
        <w:t>────────────────────</w:t>
      </w:r>
    </w:p>
    <w:p>
      <w:r>
        <w:rPr>
          <w:i/>
        </w:rPr>
        <w:t>Generated by Azrivo. Outputs may be inaccurate, incomplete, or unsuitable for your situation — always verify important information independently before you act on it. This is not professional advice (legal, medical, financial, safety, or otherwise).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sz w:val="16"/>
      </w:rPr>
      <w:t>azrivo.com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drawing>
        <wp:inline xmlns:a="http://schemas.openxmlformats.org/drawingml/2006/main" xmlns:pic="http://schemas.openxmlformats.org/drawingml/2006/picture">
          <wp:extent cx="288000" cy="288000"/>
          <wp:docPr id="1" name="Picture 1"/>
          <wp:cNvGraphicFramePr>
            <a:graphicFrameLocks noChangeAspect="1"/>
          </wp:cNvGraphicFramePr>
          <a:graphic>
            <a:graphicData uri="http://schemas.openxmlformats.org/drawingml/2006/picture">
              <pic:pic>
                <pic:nvPicPr>
                  <pic:cNvPr id="0" name="image.png"/>
                  <pic:cNvPicPr/>
                </pic:nvPicPr>
                <pic:blipFill>
                  <a:blip r:embed="rId1"/>
                  <a:stretch>
                    <a:fillRect/>
                  </a:stretch>
                </pic:blipFill>
                <pic:spPr>
                  <a:xfrm>
                    <a:off x="0" y="0"/>
                    <a:ext cx="288000" cy="28800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C15F3C"/>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C15F3C"/>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C15F3C"/>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C15F3C"/>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C15F3C"/>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